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B15096" w14:textId="77777777" w:rsidR="000E4242" w:rsidRPr="000E4242" w:rsidRDefault="000E4242" w:rsidP="000E4242">
      <w:pPr>
        <w:rPr>
          <w:sz w:val="24"/>
          <w:szCs w:val="24"/>
        </w:rPr>
      </w:pPr>
      <w:r w:rsidRPr="000E4242">
        <w:rPr>
          <w:sz w:val="24"/>
          <w:szCs w:val="24"/>
        </w:rPr>
        <w:t xml:space="preserve">GNGB Annual General Meeting </w:t>
      </w:r>
      <w:r w:rsidRPr="000E4242">
        <w:rPr>
          <w:sz w:val="24"/>
          <w:szCs w:val="24"/>
        </w:rPr>
        <w:t>–</w:t>
      </w:r>
      <w:r w:rsidRPr="000E4242">
        <w:rPr>
          <w:sz w:val="24"/>
          <w:szCs w:val="24"/>
        </w:rPr>
        <w:t xml:space="preserve"> Chief Executive Officer</w:t>
      </w:r>
      <w:r w:rsidRPr="000E4242">
        <w:rPr>
          <w:sz w:val="24"/>
          <w:szCs w:val="24"/>
        </w:rPr>
        <w:t>’</w:t>
      </w:r>
      <w:r w:rsidRPr="000E4242">
        <w:rPr>
          <w:sz w:val="24"/>
          <w:szCs w:val="24"/>
        </w:rPr>
        <w:t>s Report</w:t>
      </w:r>
    </w:p>
    <w:p w14:paraId="256D6ED3" w14:textId="77777777" w:rsidR="000E4242" w:rsidRPr="000E4242" w:rsidRDefault="000E4242" w:rsidP="000E4242">
      <w:pPr>
        <w:rPr>
          <w:sz w:val="24"/>
          <w:szCs w:val="24"/>
        </w:rPr>
      </w:pPr>
      <w:r w:rsidRPr="000E4242">
        <w:rPr>
          <w:sz w:val="24"/>
          <w:szCs w:val="24"/>
        </w:rPr>
        <w:t>October 2025</w:t>
      </w:r>
      <w:r w:rsidRPr="000E4242">
        <w:rPr>
          <w:sz w:val="24"/>
          <w:szCs w:val="24"/>
        </w:rPr>
        <w:br/>
        <w:t>Michelle Bower, Chief Executive Officer</w:t>
      </w:r>
    </w:p>
    <w:p w14:paraId="368D0940" w14:textId="77777777" w:rsidR="000E4242" w:rsidRPr="000E4242" w:rsidRDefault="000E4242" w:rsidP="000E4242">
      <w:pPr>
        <w:rPr>
          <w:sz w:val="24"/>
          <w:szCs w:val="24"/>
        </w:rPr>
      </w:pPr>
    </w:p>
    <w:p w14:paraId="4EB7FD4E" w14:textId="5C5EA92D" w:rsidR="000E4242" w:rsidRPr="000E4242" w:rsidRDefault="000E4242" w:rsidP="000E4242">
      <w:pPr>
        <w:rPr>
          <w:b/>
          <w:bCs/>
          <w:color w:val="ED7D31" w:themeColor="accent2"/>
          <w:sz w:val="24"/>
          <w:szCs w:val="24"/>
        </w:rPr>
      </w:pPr>
      <w:r w:rsidRPr="000E4242">
        <w:rPr>
          <w:b/>
          <w:bCs/>
          <w:color w:val="ED7D31" w:themeColor="accent2"/>
          <w:sz w:val="24"/>
          <w:szCs w:val="24"/>
        </w:rPr>
        <w:t>Dear Members,</w:t>
      </w:r>
    </w:p>
    <w:p w14:paraId="037D75BA" w14:textId="77777777" w:rsidR="000E4242" w:rsidRPr="000E4242" w:rsidRDefault="000E4242" w:rsidP="000E4242">
      <w:pPr>
        <w:rPr>
          <w:sz w:val="24"/>
          <w:szCs w:val="24"/>
        </w:rPr>
      </w:pPr>
      <w:r w:rsidRPr="000E4242">
        <w:rPr>
          <w:sz w:val="24"/>
          <w:szCs w:val="24"/>
        </w:rPr>
        <w:t>Welcome to the 2025 Annual General Meeting. Thank you for taking the time to join us as we reflect on GNGB</w:t>
      </w:r>
      <w:r w:rsidRPr="000E4242">
        <w:rPr>
          <w:sz w:val="24"/>
          <w:szCs w:val="24"/>
        </w:rPr>
        <w:t>’</w:t>
      </w:r>
      <w:r w:rsidRPr="000E4242">
        <w:rPr>
          <w:sz w:val="24"/>
          <w:szCs w:val="24"/>
        </w:rPr>
        <w:t>s activities and progress over the 2024</w:t>
      </w:r>
      <w:r w:rsidRPr="000E4242">
        <w:rPr>
          <w:sz w:val="24"/>
          <w:szCs w:val="24"/>
        </w:rPr>
        <w:t>–</w:t>
      </w:r>
      <w:r w:rsidRPr="000E4242">
        <w:rPr>
          <w:sz w:val="24"/>
          <w:szCs w:val="24"/>
        </w:rPr>
        <w:t>2025 financial year.</w:t>
      </w:r>
    </w:p>
    <w:p w14:paraId="7F1A129E" w14:textId="77777777" w:rsidR="000E4242" w:rsidRPr="000E4242" w:rsidRDefault="000E4242" w:rsidP="000E4242">
      <w:pPr>
        <w:rPr>
          <w:sz w:val="24"/>
          <w:szCs w:val="24"/>
        </w:rPr>
      </w:pPr>
      <w:r w:rsidRPr="000E4242">
        <w:rPr>
          <w:sz w:val="24"/>
          <w:szCs w:val="24"/>
        </w:rPr>
        <w:t>It is my pleasure to present the Chief Executive Officer</w:t>
      </w:r>
      <w:r w:rsidRPr="000E4242">
        <w:rPr>
          <w:sz w:val="24"/>
          <w:szCs w:val="24"/>
        </w:rPr>
        <w:t>’</w:t>
      </w:r>
      <w:r w:rsidRPr="000E4242">
        <w:rPr>
          <w:sz w:val="24"/>
          <w:szCs w:val="24"/>
        </w:rPr>
        <w:t>s Report in support of the Chair</w:t>
      </w:r>
      <w:r w:rsidRPr="000E4242">
        <w:rPr>
          <w:sz w:val="24"/>
          <w:szCs w:val="24"/>
        </w:rPr>
        <w:t>’</w:t>
      </w:r>
      <w:r w:rsidRPr="000E4242">
        <w:rPr>
          <w:sz w:val="24"/>
          <w:szCs w:val="24"/>
        </w:rPr>
        <w:t>s Report and the GNGB Annual Financial Statements for 2025.</w:t>
      </w:r>
    </w:p>
    <w:p w14:paraId="7206F89D" w14:textId="77777777" w:rsidR="001D5BC8" w:rsidRPr="001D5BC8" w:rsidRDefault="001D5BC8" w:rsidP="001D5BC8">
      <w:pPr>
        <w:rPr>
          <w:b/>
          <w:bCs/>
          <w:color w:val="ED7D31" w:themeColor="accent2"/>
          <w:sz w:val="24"/>
          <w:szCs w:val="24"/>
        </w:rPr>
      </w:pPr>
      <w:r w:rsidRPr="001D5BC8">
        <w:rPr>
          <w:b/>
          <w:bCs/>
          <w:color w:val="ED7D31" w:themeColor="accent2"/>
          <w:sz w:val="24"/>
          <w:szCs w:val="24"/>
        </w:rPr>
        <w:t>Delivering Value and Impact</w:t>
      </w:r>
    </w:p>
    <w:p w14:paraId="107CA576" w14:textId="148E1BB0" w:rsidR="001D5BC8" w:rsidRPr="001D5BC8" w:rsidRDefault="001D5BC8" w:rsidP="001D5BC8">
      <w:pPr>
        <w:rPr>
          <w:sz w:val="24"/>
          <w:szCs w:val="24"/>
        </w:rPr>
      </w:pPr>
      <w:r w:rsidRPr="001D5BC8">
        <w:rPr>
          <w:sz w:val="24"/>
          <w:szCs w:val="24"/>
        </w:rPr>
        <w:t>The 2024</w:t>
      </w:r>
      <w:r w:rsidRPr="001D5BC8">
        <w:rPr>
          <w:sz w:val="24"/>
          <w:szCs w:val="24"/>
        </w:rPr>
        <w:t>–</w:t>
      </w:r>
      <w:r w:rsidRPr="001D5BC8">
        <w:rPr>
          <w:sz w:val="24"/>
          <w:szCs w:val="24"/>
        </w:rPr>
        <w:t xml:space="preserve">25 year has been one of </w:t>
      </w:r>
      <w:r w:rsidR="00EA26F1">
        <w:rPr>
          <w:sz w:val="24"/>
          <w:szCs w:val="24"/>
        </w:rPr>
        <w:t>change and</w:t>
      </w:r>
      <w:r w:rsidRPr="001D5BC8">
        <w:rPr>
          <w:sz w:val="24"/>
          <w:szCs w:val="24"/>
        </w:rPr>
        <w:t xml:space="preserve"> growth, with GNGB focused on delivering value for money and measurable impact for our members, Gateway Operators, and the broader superannuation ecosystem.</w:t>
      </w:r>
    </w:p>
    <w:p w14:paraId="18E44E40" w14:textId="77777777" w:rsidR="001D5BC8" w:rsidRPr="001D5BC8" w:rsidRDefault="001D5BC8" w:rsidP="001D5BC8">
      <w:pPr>
        <w:rPr>
          <w:sz w:val="24"/>
          <w:szCs w:val="24"/>
        </w:rPr>
      </w:pPr>
      <w:r w:rsidRPr="001D5BC8">
        <w:rPr>
          <w:sz w:val="24"/>
          <w:szCs w:val="24"/>
        </w:rPr>
        <w:t>Our activities this year were guided by the Board</w:t>
      </w:r>
      <w:r w:rsidRPr="001D5BC8">
        <w:rPr>
          <w:sz w:val="24"/>
          <w:szCs w:val="24"/>
        </w:rPr>
        <w:t>’</w:t>
      </w:r>
      <w:r w:rsidRPr="001D5BC8">
        <w:rPr>
          <w:sz w:val="24"/>
          <w:szCs w:val="24"/>
        </w:rPr>
        <w:t>s strategic priorities, which centre on ensuring the security and integrity of the Superannuation Transaction Network (STN). Through prudent management and focused investment, we have achieved strong outcomes that strengthen the network, improve resilience, and deliver long-term benefit to industry and government stakeholders.</w:t>
      </w:r>
    </w:p>
    <w:p w14:paraId="63D54A72" w14:textId="7C67DADF" w:rsidR="000E4242" w:rsidRPr="000E4242" w:rsidRDefault="000E4242" w:rsidP="000E4242">
      <w:pPr>
        <w:rPr>
          <w:b/>
          <w:bCs/>
          <w:color w:val="ED7D31" w:themeColor="accent2"/>
          <w:sz w:val="24"/>
          <w:szCs w:val="24"/>
        </w:rPr>
      </w:pPr>
      <w:r w:rsidRPr="000E4242">
        <w:rPr>
          <w:b/>
          <w:bCs/>
          <w:color w:val="ED7D31" w:themeColor="accent2"/>
          <w:sz w:val="24"/>
          <w:szCs w:val="24"/>
        </w:rPr>
        <w:t>Key Activities and Achievements</w:t>
      </w:r>
    </w:p>
    <w:p w14:paraId="1F54BBB2" w14:textId="77777777" w:rsidR="00D04038" w:rsidRPr="00D04038" w:rsidRDefault="00D04038" w:rsidP="00D04038">
      <w:pPr>
        <w:rPr>
          <w:sz w:val="24"/>
          <w:szCs w:val="24"/>
        </w:rPr>
      </w:pPr>
      <w:r w:rsidRPr="00D04038">
        <w:rPr>
          <w:sz w:val="24"/>
          <w:szCs w:val="24"/>
        </w:rPr>
        <w:t>GNGB</w:t>
      </w:r>
      <w:r w:rsidRPr="00D04038">
        <w:rPr>
          <w:sz w:val="24"/>
          <w:szCs w:val="24"/>
        </w:rPr>
        <w:t>’</w:t>
      </w:r>
      <w:r w:rsidRPr="00D04038">
        <w:rPr>
          <w:sz w:val="24"/>
          <w:szCs w:val="24"/>
        </w:rPr>
        <w:t xml:space="preserve">s operational objectives continue to align with our strategic purpose </w:t>
      </w:r>
      <w:r w:rsidRPr="00D04038">
        <w:rPr>
          <w:sz w:val="24"/>
          <w:szCs w:val="24"/>
        </w:rPr>
        <w:t>—</w:t>
      </w:r>
      <w:r w:rsidRPr="00D04038">
        <w:rPr>
          <w:sz w:val="24"/>
          <w:szCs w:val="24"/>
        </w:rPr>
        <w:t xml:space="preserve"> ensuring the stability and integrity of the STN while supporting Gateway Operators through change.</w:t>
      </w:r>
    </w:p>
    <w:p w14:paraId="10B16B3E" w14:textId="77777777" w:rsidR="00D04038" w:rsidRPr="00D04038" w:rsidRDefault="00D04038" w:rsidP="00D04038">
      <w:pPr>
        <w:rPr>
          <w:sz w:val="24"/>
          <w:szCs w:val="24"/>
        </w:rPr>
      </w:pPr>
      <w:r w:rsidRPr="00D04038">
        <w:rPr>
          <w:sz w:val="24"/>
          <w:szCs w:val="24"/>
        </w:rPr>
        <w:t>Building on the increased Commonwealth Grant funding from early 2024</w:t>
      </w:r>
      <w:r w:rsidRPr="00D04038">
        <w:rPr>
          <w:sz w:val="24"/>
          <w:szCs w:val="24"/>
        </w:rPr>
        <w:t>–</w:t>
      </w:r>
      <w:r w:rsidRPr="00D04038">
        <w:rPr>
          <w:sz w:val="24"/>
          <w:szCs w:val="24"/>
        </w:rPr>
        <w:t xml:space="preserve">25, GNGB has been able to </w:t>
      </w:r>
      <w:r w:rsidRPr="00D04038">
        <w:rPr>
          <w:b/>
          <w:bCs/>
          <w:sz w:val="24"/>
          <w:szCs w:val="24"/>
        </w:rPr>
        <w:t>expand its capability</w:t>
      </w:r>
      <w:r w:rsidRPr="00D04038">
        <w:rPr>
          <w:sz w:val="24"/>
          <w:szCs w:val="24"/>
        </w:rPr>
        <w:t xml:space="preserve"> and </w:t>
      </w:r>
      <w:r w:rsidRPr="00D04038">
        <w:rPr>
          <w:b/>
          <w:bCs/>
          <w:sz w:val="24"/>
          <w:szCs w:val="24"/>
        </w:rPr>
        <w:t>deliver greater value</w:t>
      </w:r>
      <w:r w:rsidRPr="00D04038">
        <w:rPr>
          <w:sz w:val="24"/>
          <w:szCs w:val="24"/>
        </w:rPr>
        <w:t xml:space="preserve"> through enhanced internal systems, deeper stakeholder engagement, and improved network coordination.</w:t>
      </w:r>
    </w:p>
    <w:p w14:paraId="23FB51DB" w14:textId="77777777" w:rsidR="000E4242" w:rsidRPr="000E4242" w:rsidRDefault="000E4242" w:rsidP="000E4242">
      <w:pPr>
        <w:rPr>
          <w:sz w:val="24"/>
          <w:szCs w:val="24"/>
        </w:rPr>
      </w:pPr>
      <w:r w:rsidRPr="000E4242">
        <w:rPr>
          <w:sz w:val="24"/>
          <w:szCs w:val="24"/>
        </w:rPr>
        <w:t>Highlights of the year include:</w:t>
      </w:r>
    </w:p>
    <w:p w14:paraId="7B7FF3D4" w14:textId="77777777" w:rsidR="000E4242" w:rsidRPr="000E4242" w:rsidRDefault="000E4242" w:rsidP="000E4242">
      <w:pPr>
        <w:numPr>
          <w:ilvl w:val="0"/>
          <w:numId w:val="24"/>
        </w:numPr>
        <w:rPr>
          <w:sz w:val="24"/>
          <w:szCs w:val="24"/>
        </w:rPr>
      </w:pPr>
      <w:proofErr w:type="spellStart"/>
      <w:r w:rsidRPr="000E4242">
        <w:rPr>
          <w:sz w:val="24"/>
          <w:szCs w:val="24"/>
        </w:rPr>
        <w:t>Rebaselining</w:t>
      </w:r>
      <w:proofErr w:type="spellEnd"/>
      <w:r w:rsidRPr="000E4242">
        <w:rPr>
          <w:sz w:val="24"/>
          <w:szCs w:val="24"/>
        </w:rPr>
        <w:t xml:space="preserve"> the GNGB Operating Model to incorporate new capabilities aligned with the 2026 Strategic Plan.</w:t>
      </w:r>
    </w:p>
    <w:p w14:paraId="76BA11D6" w14:textId="77777777" w:rsidR="000E4242" w:rsidRPr="000E4242" w:rsidRDefault="000E4242" w:rsidP="000E4242">
      <w:pPr>
        <w:numPr>
          <w:ilvl w:val="0"/>
          <w:numId w:val="24"/>
        </w:numPr>
        <w:rPr>
          <w:sz w:val="24"/>
          <w:szCs w:val="24"/>
        </w:rPr>
      </w:pPr>
      <w:r w:rsidRPr="000E4242">
        <w:rPr>
          <w:sz w:val="24"/>
          <w:szCs w:val="24"/>
        </w:rPr>
        <w:t>Enhancing risk management processes through implementation of new tools and automated reporting.</w:t>
      </w:r>
    </w:p>
    <w:p w14:paraId="5B4B2877" w14:textId="77777777" w:rsidR="000E4242" w:rsidRPr="000E4242" w:rsidRDefault="000E4242" w:rsidP="000E4242">
      <w:pPr>
        <w:numPr>
          <w:ilvl w:val="0"/>
          <w:numId w:val="24"/>
        </w:numPr>
        <w:rPr>
          <w:sz w:val="24"/>
          <w:szCs w:val="24"/>
        </w:rPr>
      </w:pPr>
      <w:r w:rsidRPr="000E4242">
        <w:rPr>
          <w:sz w:val="24"/>
          <w:szCs w:val="24"/>
        </w:rPr>
        <w:t xml:space="preserve">Providing thought leadership on the </w:t>
      </w:r>
      <w:r w:rsidRPr="000E4242">
        <w:rPr>
          <w:i/>
          <w:iCs/>
          <w:sz w:val="24"/>
          <w:szCs w:val="24"/>
        </w:rPr>
        <w:t>payday super</w:t>
      </w:r>
      <w:r w:rsidRPr="000E4242">
        <w:rPr>
          <w:sz w:val="24"/>
          <w:szCs w:val="24"/>
        </w:rPr>
        <w:t xml:space="preserve"> measure, promoting a collaborative and well-informed approach across the industry.</w:t>
      </w:r>
    </w:p>
    <w:p w14:paraId="6D5C4275" w14:textId="77777777" w:rsidR="000E4242" w:rsidRPr="000E4242" w:rsidRDefault="000E4242" w:rsidP="000E4242">
      <w:pPr>
        <w:numPr>
          <w:ilvl w:val="0"/>
          <w:numId w:val="24"/>
        </w:numPr>
        <w:rPr>
          <w:sz w:val="24"/>
          <w:szCs w:val="24"/>
        </w:rPr>
      </w:pPr>
      <w:r w:rsidRPr="000E4242">
        <w:rPr>
          <w:sz w:val="24"/>
          <w:szCs w:val="24"/>
        </w:rPr>
        <w:lastRenderedPageBreak/>
        <w:t>Renewing and implementing our Stakeholder Engagement Strategy, including GNGB</w:t>
      </w:r>
      <w:r w:rsidRPr="000E4242">
        <w:rPr>
          <w:sz w:val="24"/>
          <w:szCs w:val="24"/>
        </w:rPr>
        <w:t>’</w:t>
      </w:r>
      <w:r w:rsidRPr="000E4242">
        <w:rPr>
          <w:sz w:val="24"/>
          <w:szCs w:val="24"/>
        </w:rPr>
        <w:t>s first stakeholder engagement survey in January 2024.</w:t>
      </w:r>
    </w:p>
    <w:p w14:paraId="1094A880" w14:textId="1DE9ECB4" w:rsidR="004F43B8" w:rsidRDefault="0013621C" w:rsidP="000E4242">
      <w:pPr>
        <w:rPr>
          <w:sz w:val="24"/>
          <w:szCs w:val="24"/>
        </w:rPr>
      </w:pPr>
      <w:r w:rsidRPr="0013621C">
        <w:rPr>
          <w:sz w:val="24"/>
          <w:szCs w:val="24"/>
        </w:rPr>
        <w:t xml:space="preserve">Together, these initiatives have positioned GNGB to deliver greater impact for the resources invested </w:t>
      </w:r>
      <w:r w:rsidRPr="0013621C">
        <w:rPr>
          <w:sz w:val="24"/>
          <w:szCs w:val="24"/>
        </w:rPr>
        <w:t>—</w:t>
      </w:r>
      <w:r w:rsidRPr="0013621C">
        <w:rPr>
          <w:sz w:val="24"/>
          <w:szCs w:val="24"/>
        </w:rPr>
        <w:t xml:space="preserve"> ensuring that every dollar contributes to the resilience and security of the network.</w:t>
      </w:r>
    </w:p>
    <w:p w14:paraId="3220F38A" w14:textId="3210F4D7" w:rsidR="000E4242" w:rsidRPr="000E4242" w:rsidRDefault="000E4242" w:rsidP="000E4242">
      <w:pPr>
        <w:rPr>
          <w:b/>
          <w:bCs/>
          <w:color w:val="ED7D31" w:themeColor="accent2"/>
          <w:sz w:val="24"/>
          <w:szCs w:val="24"/>
        </w:rPr>
      </w:pPr>
      <w:r w:rsidRPr="000E4242">
        <w:rPr>
          <w:b/>
          <w:bCs/>
          <w:color w:val="ED7D31" w:themeColor="accent2"/>
          <w:sz w:val="24"/>
          <w:szCs w:val="24"/>
        </w:rPr>
        <w:t>Cyber Security</w:t>
      </w:r>
    </w:p>
    <w:p w14:paraId="1745A729" w14:textId="77777777" w:rsidR="0013621C" w:rsidRPr="0013621C" w:rsidRDefault="0013621C" w:rsidP="0013621C">
      <w:pPr>
        <w:rPr>
          <w:sz w:val="24"/>
          <w:szCs w:val="24"/>
        </w:rPr>
      </w:pPr>
      <w:r w:rsidRPr="0013621C">
        <w:rPr>
          <w:sz w:val="24"/>
          <w:szCs w:val="24"/>
        </w:rPr>
        <w:t>Cyber resilience remains a cornerstone of GNGB</w:t>
      </w:r>
      <w:r w:rsidRPr="0013621C">
        <w:rPr>
          <w:sz w:val="24"/>
          <w:szCs w:val="24"/>
        </w:rPr>
        <w:t>’</w:t>
      </w:r>
      <w:r w:rsidRPr="0013621C">
        <w:rPr>
          <w:sz w:val="24"/>
          <w:szCs w:val="24"/>
        </w:rPr>
        <w:t>s work, underpinning both our operational value and industry impact.</w:t>
      </w:r>
    </w:p>
    <w:p w14:paraId="662A9859" w14:textId="6D3A6240" w:rsidR="0013621C" w:rsidRPr="0013621C" w:rsidRDefault="0013621C" w:rsidP="0013621C">
      <w:pPr>
        <w:rPr>
          <w:sz w:val="24"/>
          <w:szCs w:val="24"/>
        </w:rPr>
      </w:pPr>
      <w:r w:rsidRPr="0013621C">
        <w:rPr>
          <w:sz w:val="24"/>
          <w:szCs w:val="24"/>
        </w:rPr>
        <w:t xml:space="preserve">With the establishment of the Chief Information Security Manager (CISM) role, GNGB has been able to deepen engagement and coordination across the </w:t>
      </w:r>
      <w:r w:rsidR="000121FD">
        <w:rPr>
          <w:sz w:val="24"/>
          <w:szCs w:val="24"/>
        </w:rPr>
        <w:t xml:space="preserve">Gateway </w:t>
      </w:r>
      <w:r w:rsidRPr="0013621C">
        <w:rPr>
          <w:sz w:val="24"/>
          <w:szCs w:val="24"/>
        </w:rPr>
        <w:t>security community.</w:t>
      </w:r>
      <w:r w:rsidRPr="0013621C">
        <w:rPr>
          <w:sz w:val="24"/>
          <w:szCs w:val="24"/>
        </w:rPr>
        <w:br/>
        <w:t>This year we have:</w:t>
      </w:r>
    </w:p>
    <w:p w14:paraId="0B2380FA" w14:textId="77777777" w:rsidR="0013621C" w:rsidRPr="0013621C" w:rsidRDefault="0013621C" w:rsidP="0013621C">
      <w:pPr>
        <w:numPr>
          <w:ilvl w:val="0"/>
          <w:numId w:val="28"/>
        </w:numPr>
        <w:rPr>
          <w:sz w:val="24"/>
          <w:szCs w:val="24"/>
        </w:rPr>
      </w:pPr>
      <w:r w:rsidRPr="0013621C">
        <w:rPr>
          <w:sz w:val="24"/>
          <w:szCs w:val="24"/>
        </w:rPr>
        <w:t xml:space="preserve">Launched </w:t>
      </w:r>
      <w:r w:rsidRPr="0013621C">
        <w:rPr>
          <w:b/>
          <w:bCs/>
          <w:sz w:val="24"/>
          <w:szCs w:val="24"/>
        </w:rPr>
        <w:t>Gateway CISO Forums</w:t>
      </w:r>
      <w:r w:rsidRPr="0013621C">
        <w:rPr>
          <w:sz w:val="24"/>
          <w:szCs w:val="24"/>
        </w:rPr>
        <w:t xml:space="preserve"> to promote collective learning and alignment across operators.</w:t>
      </w:r>
    </w:p>
    <w:p w14:paraId="6C17A6D9" w14:textId="77777777" w:rsidR="0013621C" w:rsidRPr="0013621C" w:rsidRDefault="0013621C" w:rsidP="0013621C">
      <w:pPr>
        <w:numPr>
          <w:ilvl w:val="0"/>
          <w:numId w:val="28"/>
        </w:numPr>
        <w:rPr>
          <w:sz w:val="24"/>
          <w:szCs w:val="24"/>
        </w:rPr>
      </w:pPr>
      <w:r w:rsidRPr="0013621C">
        <w:rPr>
          <w:sz w:val="24"/>
          <w:szCs w:val="24"/>
        </w:rPr>
        <w:t xml:space="preserve">Reviewed and streamlined the </w:t>
      </w:r>
      <w:r w:rsidRPr="0013621C">
        <w:rPr>
          <w:b/>
          <w:bCs/>
          <w:sz w:val="24"/>
          <w:szCs w:val="24"/>
        </w:rPr>
        <w:t>STN Information Security Requirements (ISR)</w:t>
      </w:r>
      <w:r w:rsidRPr="0013621C">
        <w:rPr>
          <w:sz w:val="24"/>
          <w:szCs w:val="24"/>
        </w:rPr>
        <w:t xml:space="preserve"> to reduce duplication and deliver efficiency gains for Gateway Operators.</w:t>
      </w:r>
    </w:p>
    <w:p w14:paraId="6268BD3A" w14:textId="77777777" w:rsidR="0013621C" w:rsidRPr="0013621C" w:rsidRDefault="0013621C" w:rsidP="0013621C">
      <w:pPr>
        <w:numPr>
          <w:ilvl w:val="0"/>
          <w:numId w:val="28"/>
        </w:numPr>
        <w:rPr>
          <w:sz w:val="24"/>
          <w:szCs w:val="24"/>
        </w:rPr>
      </w:pPr>
      <w:r w:rsidRPr="0013621C">
        <w:rPr>
          <w:sz w:val="24"/>
          <w:szCs w:val="24"/>
        </w:rPr>
        <w:t xml:space="preserve">Expanded the quarterly </w:t>
      </w:r>
      <w:r w:rsidRPr="0013621C">
        <w:rPr>
          <w:b/>
          <w:bCs/>
          <w:sz w:val="24"/>
          <w:szCs w:val="24"/>
        </w:rPr>
        <w:t>STN Cyber Forums</w:t>
      </w:r>
      <w:r w:rsidRPr="0013621C">
        <w:rPr>
          <w:sz w:val="24"/>
          <w:szCs w:val="24"/>
        </w:rPr>
        <w:t>, increasing participation and practical outcomes.</w:t>
      </w:r>
    </w:p>
    <w:p w14:paraId="67305793" w14:textId="2F34D00A" w:rsidR="0013621C" w:rsidRPr="0013621C" w:rsidRDefault="0013621C" w:rsidP="0013621C">
      <w:pPr>
        <w:numPr>
          <w:ilvl w:val="0"/>
          <w:numId w:val="28"/>
        </w:numPr>
        <w:rPr>
          <w:sz w:val="24"/>
          <w:szCs w:val="24"/>
        </w:rPr>
      </w:pPr>
      <w:r w:rsidRPr="0013621C">
        <w:rPr>
          <w:sz w:val="24"/>
          <w:szCs w:val="24"/>
        </w:rPr>
        <w:t xml:space="preserve">Designed and delivered </w:t>
      </w:r>
      <w:r w:rsidRPr="0013621C">
        <w:rPr>
          <w:b/>
          <w:bCs/>
          <w:sz w:val="24"/>
          <w:szCs w:val="24"/>
        </w:rPr>
        <w:t xml:space="preserve">Operation </w:t>
      </w:r>
      <w:proofErr w:type="gramStart"/>
      <w:r w:rsidRPr="0013621C">
        <w:rPr>
          <w:b/>
          <w:bCs/>
          <w:sz w:val="24"/>
          <w:szCs w:val="24"/>
        </w:rPr>
        <w:t>Honey Bee</w:t>
      </w:r>
      <w:proofErr w:type="gramEnd"/>
      <w:r w:rsidRPr="0013621C">
        <w:rPr>
          <w:b/>
          <w:bCs/>
          <w:sz w:val="24"/>
          <w:szCs w:val="24"/>
        </w:rPr>
        <w:t xml:space="preserve"> II</w:t>
      </w:r>
      <w:r w:rsidRPr="0013621C">
        <w:rPr>
          <w:sz w:val="24"/>
          <w:szCs w:val="24"/>
        </w:rPr>
        <w:t xml:space="preserve">, the 2025 ecosystem-wide incident response exercise, strengthening </w:t>
      </w:r>
      <w:r w:rsidR="000121FD">
        <w:rPr>
          <w:sz w:val="24"/>
          <w:szCs w:val="24"/>
        </w:rPr>
        <w:t xml:space="preserve">collective </w:t>
      </w:r>
      <w:r w:rsidRPr="0013621C">
        <w:rPr>
          <w:sz w:val="24"/>
          <w:szCs w:val="24"/>
        </w:rPr>
        <w:t>preparedness and coordination.</w:t>
      </w:r>
    </w:p>
    <w:p w14:paraId="62BEAA92" w14:textId="77777777" w:rsidR="000E4242" w:rsidRPr="000E4242" w:rsidRDefault="000E4242" w:rsidP="000E4242">
      <w:pPr>
        <w:rPr>
          <w:sz w:val="24"/>
          <w:szCs w:val="24"/>
        </w:rPr>
      </w:pPr>
      <w:r w:rsidRPr="000E4242">
        <w:rPr>
          <w:sz w:val="24"/>
          <w:szCs w:val="24"/>
        </w:rPr>
        <w:t>GNGB will continue to identify opportunities to strengthen cyber resilience and support the already robust risk management practices of Gateway Operators.</w:t>
      </w:r>
    </w:p>
    <w:p w14:paraId="443DE021" w14:textId="77777777" w:rsidR="000E4242" w:rsidRPr="000E4242" w:rsidRDefault="000E4242" w:rsidP="000E4242">
      <w:pPr>
        <w:rPr>
          <w:color w:val="ED7D31" w:themeColor="accent2"/>
          <w:sz w:val="24"/>
          <w:szCs w:val="24"/>
        </w:rPr>
      </w:pPr>
      <w:r w:rsidRPr="000E4242">
        <w:rPr>
          <w:color w:val="ED7D31" w:themeColor="accent2"/>
          <w:sz w:val="24"/>
          <w:szCs w:val="24"/>
        </w:rPr>
        <w:t>Financial Management</w:t>
      </w:r>
    </w:p>
    <w:p w14:paraId="14CC217D" w14:textId="58714AED" w:rsidR="000E4242" w:rsidRDefault="00BB7DBD" w:rsidP="000E4242">
      <w:pPr>
        <w:rPr>
          <w:sz w:val="24"/>
          <w:szCs w:val="24"/>
        </w:rPr>
      </w:pPr>
      <w:r w:rsidRPr="00BB7DBD">
        <w:rPr>
          <w:sz w:val="24"/>
          <w:szCs w:val="24"/>
        </w:rPr>
        <w:t>Sound financial management remains at the heart of GNGB</w:t>
      </w:r>
      <w:r w:rsidRPr="00BB7DBD">
        <w:rPr>
          <w:sz w:val="24"/>
          <w:szCs w:val="24"/>
        </w:rPr>
        <w:t>’</w:t>
      </w:r>
      <w:r w:rsidRPr="00BB7DBD">
        <w:rPr>
          <w:sz w:val="24"/>
          <w:szCs w:val="24"/>
        </w:rPr>
        <w:t xml:space="preserve">s value proposition. The 2025 Financial Statements demonstrate our commitment to </w:t>
      </w:r>
      <w:r w:rsidRPr="00BB7DBD">
        <w:rPr>
          <w:b/>
          <w:bCs/>
          <w:sz w:val="24"/>
          <w:szCs w:val="24"/>
        </w:rPr>
        <w:t>responsible stewardship</w:t>
      </w:r>
      <w:r w:rsidRPr="00BB7DBD">
        <w:rPr>
          <w:sz w:val="24"/>
          <w:szCs w:val="24"/>
        </w:rPr>
        <w:t xml:space="preserve"> and </w:t>
      </w:r>
      <w:r w:rsidRPr="00BB7DBD">
        <w:rPr>
          <w:b/>
          <w:bCs/>
          <w:sz w:val="24"/>
          <w:szCs w:val="24"/>
        </w:rPr>
        <w:t>value for money</w:t>
      </w:r>
      <w:r w:rsidRPr="00BB7DBD">
        <w:rPr>
          <w:sz w:val="24"/>
          <w:szCs w:val="24"/>
        </w:rPr>
        <w:t>, ensuring every investment aligns with strategic objectives and produces measurable outcomes</w:t>
      </w:r>
      <w:r w:rsidR="000E4242" w:rsidRPr="000E4242">
        <w:rPr>
          <w:sz w:val="24"/>
          <w:szCs w:val="24"/>
        </w:rPr>
        <w:t>.</w:t>
      </w:r>
      <w:r w:rsidR="008169FC">
        <w:rPr>
          <w:sz w:val="24"/>
          <w:szCs w:val="24"/>
        </w:rPr>
        <w:t xml:space="preserve"> </w:t>
      </w:r>
    </w:p>
    <w:p w14:paraId="56284410" w14:textId="77777777" w:rsidR="00807C08" w:rsidRDefault="00807C08" w:rsidP="000E4242">
      <w:pPr>
        <w:rPr>
          <w:sz w:val="24"/>
          <w:szCs w:val="24"/>
        </w:rPr>
      </w:pPr>
    </w:p>
    <w:p w14:paraId="52D1D1B0" w14:textId="77777777" w:rsidR="00807C08" w:rsidRDefault="00807C08" w:rsidP="000E4242">
      <w:pPr>
        <w:rPr>
          <w:sz w:val="24"/>
          <w:szCs w:val="24"/>
        </w:rPr>
      </w:pPr>
    </w:p>
    <w:p w14:paraId="4345A377" w14:textId="77777777" w:rsidR="00807C08" w:rsidRDefault="00807C08" w:rsidP="000E4242">
      <w:pPr>
        <w:rPr>
          <w:sz w:val="24"/>
          <w:szCs w:val="24"/>
        </w:rPr>
      </w:pPr>
    </w:p>
    <w:p w14:paraId="284F0D71" w14:textId="77777777" w:rsidR="00807C08" w:rsidRDefault="00807C08" w:rsidP="000E4242">
      <w:pPr>
        <w:rPr>
          <w:sz w:val="24"/>
          <w:szCs w:val="24"/>
        </w:rPr>
      </w:pPr>
    </w:p>
    <w:p w14:paraId="11EB6C96" w14:textId="77777777" w:rsidR="00807C08" w:rsidRDefault="00807C08" w:rsidP="000E4242">
      <w:pPr>
        <w:rPr>
          <w:sz w:val="24"/>
          <w:szCs w:val="24"/>
        </w:rPr>
      </w:pPr>
    </w:p>
    <w:p w14:paraId="26A804D5" w14:textId="77777777" w:rsidR="00807C08" w:rsidRPr="000E4242" w:rsidRDefault="00807C08" w:rsidP="000E4242">
      <w:pPr>
        <w:rPr>
          <w:sz w:val="24"/>
          <w:szCs w:val="24"/>
        </w:rPr>
      </w:pPr>
    </w:p>
    <w:p w14:paraId="762D8788" w14:textId="77777777" w:rsidR="000E4242" w:rsidRPr="000E4242" w:rsidRDefault="000E4242" w:rsidP="000E4242">
      <w:pPr>
        <w:rPr>
          <w:b/>
          <w:bCs/>
          <w:sz w:val="24"/>
          <w:szCs w:val="24"/>
        </w:rPr>
      </w:pPr>
      <w:r w:rsidRPr="000E4242">
        <w:rPr>
          <w:b/>
          <w:bCs/>
          <w:sz w:val="24"/>
          <w:szCs w:val="24"/>
        </w:rPr>
        <w:lastRenderedPageBreak/>
        <w:t>Revenue Overview</w:t>
      </w:r>
    </w:p>
    <w:p w14:paraId="4BB5656A" w14:textId="60E39A43" w:rsidR="000E4242" w:rsidRDefault="00D8309A" w:rsidP="000E4242">
      <w:pPr>
        <w:rPr>
          <w:sz w:val="24"/>
          <w:szCs w:val="24"/>
        </w:rPr>
      </w:pPr>
      <w:r w:rsidRPr="00D8309A">
        <w:rPr>
          <w:sz w:val="24"/>
          <w:szCs w:val="24"/>
        </w:rPr>
        <w:t>The signing of the new Commonwealth Grant Agreement in late 2024 increased available funding, allowing GNGB to deliver an expanded work program without compromising efficiency. With CPI stabilising, Gateway Operator fees rose slightly in line with inflation.</w:t>
      </w:r>
    </w:p>
    <w:p w14:paraId="6BC4C162" w14:textId="77777777" w:rsidR="00D8309A" w:rsidRDefault="00D8309A" w:rsidP="000E4242">
      <w:pPr>
        <w:rPr>
          <w:sz w:val="24"/>
          <w:szCs w:val="24"/>
        </w:rPr>
      </w:pPr>
    </w:p>
    <w:tbl>
      <w:tblPr>
        <w:tblW w:w="5000" w:type="pct"/>
        <w:tblCellMar>
          <w:left w:w="0" w:type="dxa"/>
          <w:right w:w="0" w:type="dxa"/>
        </w:tblCellMar>
        <w:tblLook w:val="0600" w:firstRow="0" w:lastRow="0" w:firstColumn="0" w:lastColumn="0" w:noHBand="1" w:noVBand="1"/>
      </w:tblPr>
      <w:tblGrid>
        <w:gridCol w:w="2728"/>
        <w:gridCol w:w="1241"/>
        <w:gridCol w:w="1419"/>
        <w:gridCol w:w="1559"/>
        <w:gridCol w:w="2413"/>
      </w:tblGrid>
      <w:tr w:rsidR="002576CB" w:rsidRPr="00CE7C3C" w14:paraId="6C002AF9" w14:textId="77777777" w:rsidTr="002576CB">
        <w:trPr>
          <w:trHeight w:val="379"/>
        </w:trPr>
        <w:tc>
          <w:tcPr>
            <w:tcW w:w="1457" w:type="pct"/>
            <w:tcBorders>
              <w:top w:val="single" w:sz="4" w:space="0" w:color="CAD868"/>
              <w:left w:val="nil"/>
              <w:bottom w:val="single" w:sz="4" w:space="0" w:color="3AA0DA"/>
              <w:right w:val="single" w:sz="4" w:space="0" w:color="EFF2F6"/>
            </w:tcBorders>
            <w:shd w:val="clear" w:color="auto" w:fill="F4F3EE"/>
            <w:tcMar>
              <w:top w:w="76" w:type="dxa"/>
              <w:left w:w="76" w:type="dxa"/>
              <w:bottom w:w="76" w:type="dxa"/>
              <w:right w:w="76" w:type="dxa"/>
            </w:tcMar>
            <w:vAlign w:val="center"/>
            <w:hideMark/>
          </w:tcPr>
          <w:p w14:paraId="03474E7A" w14:textId="77777777" w:rsidR="002576CB" w:rsidRPr="00CE7C3C" w:rsidRDefault="002576CB" w:rsidP="00D5491F">
            <w:r w:rsidRPr="00CE7C3C">
              <w:rPr>
                <w:lang w:val="en-US"/>
              </w:rPr>
              <w:t>Revenue Item</w:t>
            </w:r>
          </w:p>
        </w:tc>
        <w:tc>
          <w:tcPr>
            <w:tcW w:w="663" w:type="pct"/>
            <w:tcBorders>
              <w:top w:val="single" w:sz="4" w:space="0" w:color="CAD868"/>
              <w:left w:val="single" w:sz="4" w:space="0" w:color="EFF2F6"/>
              <w:bottom w:val="single" w:sz="4" w:space="0" w:color="3AA0DA"/>
              <w:right w:val="single" w:sz="4" w:space="0" w:color="EFF2F6"/>
            </w:tcBorders>
            <w:shd w:val="clear" w:color="auto" w:fill="F4F3EE"/>
            <w:tcMar>
              <w:top w:w="76" w:type="dxa"/>
              <w:left w:w="76" w:type="dxa"/>
              <w:bottom w:w="76" w:type="dxa"/>
              <w:right w:w="76" w:type="dxa"/>
            </w:tcMar>
            <w:vAlign w:val="center"/>
            <w:hideMark/>
          </w:tcPr>
          <w:p w14:paraId="619A47C1" w14:textId="77777777" w:rsidR="002576CB" w:rsidRPr="00CE7C3C" w:rsidRDefault="002576CB" w:rsidP="00D5491F">
            <w:r w:rsidRPr="00CE7C3C">
              <w:rPr>
                <w:lang w:val="en-GB"/>
              </w:rPr>
              <w:t>2024 (</w:t>
            </w:r>
            <w:r w:rsidRPr="00CE7C3C">
              <w:rPr>
                <w:lang w:val="en-GB"/>
              </w:rPr>
              <w:t>‘</w:t>
            </w:r>
            <w:r w:rsidRPr="00CE7C3C">
              <w:rPr>
                <w:lang w:val="en-GB"/>
              </w:rPr>
              <w:t>000)</w:t>
            </w:r>
          </w:p>
        </w:tc>
        <w:tc>
          <w:tcPr>
            <w:tcW w:w="758" w:type="pct"/>
            <w:tcBorders>
              <w:top w:val="single" w:sz="4" w:space="0" w:color="CAD868"/>
              <w:left w:val="single" w:sz="4" w:space="0" w:color="EFF2F6"/>
              <w:bottom w:val="single" w:sz="4" w:space="0" w:color="3AA0DA"/>
              <w:right w:val="single" w:sz="4" w:space="0" w:color="EFF2F6"/>
            </w:tcBorders>
            <w:shd w:val="clear" w:color="auto" w:fill="F4F3EE"/>
            <w:tcMar>
              <w:top w:w="76" w:type="dxa"/>
              <w:left w:w="76" w:type="dxa"/>
              <w:bottom w:w="76" w:type="dxa"/>
              <w:right w:w="76" w:type="dxa"/>
            </w:tcMar>
            <w:vAlign w:val="center"/>
            <w:hideMark/>
          </w:tcPr>
          <w:p w14:paraId="76BFA21C" w14:textId="77777777" w:rsidR="002576CB" w:rsidRPr="00CE7C3C" w:rsidRDefault="002576CB" w:rsidP="00D5491F">
            <w:r w:rsidRPr="00CE7C3C">
              <w:rPr>
                <w:lang w:val="en-GB"/>
              </w:rPr>
              <w:t>2025 (</w:t>
            </w:r>
            <w:r w:rsidRPr="00CE7C3C">
              <w:rPr>
                <w:lang w:val="en-GB"/>
              </w:rPr>
              <w:t>‘</w:t>
            </w:r>
            <w:r w:rsidRPr="00CE7C3C">
              <w:rPr>
                <w:lang w:val="en-GB"/>
              </w:rPr>
              <w:t>000)</w:t>
            </w:r>
          </w:p>
        </w:tc>
        <w:tc>
          <w:tcPr>
            <w:tcW w:w="833" w:type="pct"/>
            <w:tcBorders>
              <w:top w:val="single" w:sz="4" w:space="0" w:color="CAD868"/>
              <w:left w:val="single" w:sz="4" w:space="0" w:color="EFF2F6"/>
              <w:bottom w:val="single" w:sz="4" w:space="0" w:color="3AA0DA"/>
              <w:right w:val="single" w:sz="4" w:space="0" w:color="EFF2F6"/>
            </w:tcBorders>
            <w:shd w:val="clear" w:color="auto" w:fill="F4F3EE"/>
            <w:tcMar>
              <w:top w:w="76" w:type="dxa"/>
              <w:left w:w="76" w:type="dxa"/>
              <w:bottom w:w="76" w:type="dxa"/>
              <w:right w:w="76" w:type="dxa"/>
            </w:tcMar>
            <w:vAlign w:val="center"/>
            <w:hideMark/>
          </w:tcPr>
          <w:p w14:paraId="30BB0BB3" w14:textId="77777777" w:rsidR="002576CB" w:rsidRPr="00CE7C3C" w:rsidRDefault="002576CB" w:rsidP="00D5491F">
            <w:r w:rsidRPr="00CE7C3C">
              <w:rPr>
                <w:lang w:val="en-GB"/>
              </w:rPr>
              <w:t>% change</w:t>
            </w:r>
          </w:p>
        </w:tc>
        <w:tc>
          <w:tcPr>
            <w:tcW w:w="1290" w:type="pct"/>
            <w:tcBorders>
              <w:top w:val="single" w:sz="4" w:space="0" w:color="CAD868"/>
              <w:left w:val="single" w:sz="4" w:space="0" w:color="EFF2F6"/>
              <w:bottom w:val="single" w:sz="4" w:space="0" w:color="3AA0DA"/>
              <w:right w:val="nil"/>
            </w:tcBorders>
            <w:shd w:val="clear" w:color="auto" w:fill="F4F3EE"/>
            <w:tcMar>
              <w:top w:w="76" w:type="dxa"/>
              <w:left w:w="76" w:type="dxa"/>
              <w:bottom w:w="76" w:type="dxa"/>
              <w:right w:w="76" w:type="dxa"/>
            </w:tcMar>
            <w:vAlign w:val="center"/>
            <w:hideMark/>
          </w:tcPr>
          <w:p w14:paraId="12BCB1DD" w14:textId="77777777" w:rsidR="002576CB" w:rsidRPr="00CE7C3C" w:rsidRDefault="002576CB" w:rsidP="00D5491F">
            <w:r w:rsidRPr="00CE7C3C">
              <w:rPr>
                <w:lang w:val="en-US"/>
              </w:rPr>
              <w:t>Comments</w:t>
            </w:r>
          </w:p>
        </w:tc>
      </w:tr>
      <w:tr w:rsidR="002576CB" w:rsidRPr="00CE7C3C" w14:paraId="14FAA9D7" w14:textId="77777777" w:rsidTr="002576CB">
        <w:trPr>
          <w:trHeight w:val="379"/>
        </w:trPr>
        <w:tc>
          <w:tcPr>
            <w:tcW w:w="1457" w:type="pct"/>
            <w:tcBorders>
              <w:top w:val="single" w:sz="4" w:space="0" w:color="3AA0DA"/>
              <w:left w:val="nil"/>
              <w:bottom w:val="single" w:sz="4" w:space="0" w:color="3AA0DA"/>
              <w:right w:val="single" w:sz="4" w:space="0" w:color="EFF2F6"/>
            </w:tcBorders>
            <w:tcMar>
              <w:top w:w="76" w:type="dxa"/>
              <w:left w:w="76" w:type="dxa"/>
              <w:bottom w:w="76" w:type="dxa"/>
              <w:right w:w="76" w:type="dxa"/>
            </w:tcMar>
            <w:hideMark/>
          </w:tcPr>
          <w:p w14:paraId="5D7D7B6E" w14:textId="77777777" w:rsidR="002576CB" w:rsidRPr="00CE7C3C" w:rsidRDefault="002576CB" w:rsidP="00D5491F">
            <w:r w:rsidRPr="00CE7C3C">
              <w:rPr>
                <w:lang w:val="en-US"/>
              </w:rPr>
              <w:t>Commonwealth Grant</w:t>
            </w:r>
          </w:p>
        </w:tc>
        <w:tc>
          <w:tcPr>
            <w:tcW w:w="663" w:type="pct"/>
            <w:tcBorders>
              <w:top w:val="single" w:sz="4" w:space="0" w:color="3AA0DA"/>
              <w:left w:val="single" w:sz="4" w:space="0" w:color="EFF2F6"/>
              <w:bottom w:val="single" w:sz="4" w:space="0" w:color="3AA0DA"/>
              <w:right w:val="single" w:sz="4" w:space="0" w:color="EFF2F6"/>
            </w:tcBorders>
            <w:tcMar>
              <w:top w:w="76" w:type="dxa"/>
              <w:left w:w="76" w:type="dxa"/>
              <w:bottom w:w="76" w:type="dxa"/>
              <w:right w:w="76" w:type="dxa"/>
            </w:tcMar>
            <w:hideMark/>
          </w:tcPr>
          <w:p w14:paraId="31F5173C" w14:textId="77777777" w:rsidR="002576CB" w:rsidRPr="00CE7C3C" w:rsidRDefault="002576CB" w:rsidP="00D5491F">
            <w:r w:rsidRPr="00CE7C3C">
              <w:rPr>
                <w:lang w:val="en-US"/>
              </w:rPr>
              <w:t>700</w:t>
            </w:r>
          </w:p>
        </w:tc>
        <w:tc>
          <w:tcPr>
            <w:tcW w:w="758" w:type="pct"/>
            <w:tcBorders>
              <w:top w:val="single" w:sz="4" w:space="0" w:color="3AA0DA"/>
              <w:left w:val="single" w:sz="4" w:space="0" w:color="EFF2F6"/>
              <w:bottom w:val="single" w:sz="4" w:space="0" w:color="3AA0DA"/>
              <w:right w:val="single" w:sz="4" w:space="0" w:color="EFF2F6"/>
            </w:tcBorders>
            <w:tcMar>
              <w:top w:w="76" w:type="dxa"/>
              <w:left w:w="76" w:type="dxa"/>
              <w:bottom w:w="76" w:type="dxa"/>
              <w:right w:w="76" w:type="dxa"/>
            </w:tcMar>
            <w:hideMark/>
          </w:tcPr>
          <w:p w14:paraId="22891E55" w14:textId="77777777" w:rsidR="002576CB" w:rsidRPr="00CE7C3C" w:rsidRDefault="002576CB" w:rsidP="00D5491F">
            <w:r w:rsidRPr="00CE7C3C">
              <w:rPr>
                <w:lang w:val="en-US"/>
              </w:rPr>
              <w:t>1,131</w:t>
            </w:r>
          </w:p>
        </w:tc>
        <w:tc>
          <w:tcPr>
            <w:tcW w:w="833" w:type="pct"/>
            <w:tcBorders>
              <w:top w:val="single" w:sz="4" w:space="0" w:color="3AA0DA"/>
              <w:left w:val="single" w:sz="4" w:space="0" w:color="EFF2F6"/>
              <w:bottom w:val="single" w:sz="4" w:space="0" w:color="3AA0DA"/>
              <w:right w:val="single" w:sz="4" w:space="0" w:color="EFF2F6"/>
            </w:tcBorders>
            <w:tcMar>
              <w:top w:w="76" w:type="dxa"/>
              <w:left w:w="76" w:type="dxa"/>
              <w:bottom w:w="76" w:type="dxa"/>
              <w:right w:w="76" w:type="dxa"/>
            </w:tcMar>
            <w:hideMark/>
          </w:tcPr>
          <w:p w14:paraId="015D6BF0" w14:textId="77777777" w:rsidR="002576CB" w:rsidRPr="00CE7C3C" w:rsidRDefault="002576CB" w:rsidP="00D5491F">
            <w:r w:rsidRPr="00CE7C3C">
              <w:rPr>
                <w:lang w:val="en-US"/>
              </w:rPr>
              <w:t>61%</w:t>
            </w:r>
          </w:p>
        </w:tc>
        <w:tc>
          <w:tcPr>
            <w:tcW w:w="1290" w:type="pct"/>
            <w:tcBorders>
              <w:top w:val="single" w:sz="4" w:space="0" w:color="3AA0DA"/>
              <w:left w:val="single" w:sz="4" w:space="0" w:color="EFF2F6"/>
              <w:bottom w:val="single" w:sz="4" w:space="0" w:color="3AA0DA"/>
              <w:right w:val="nil"/>
            </w:tcBorders>
            <w:tcMar>
              <w:top w:w="76" w:type="dxa"/>
              <w:left w:w="76" w:type="dxa"/>
              <w:bottom w:w="76" w:type="dxa"/>
              <w:right w:w="76" w:type="dxa"/>
            </w:tcMar>
            <w:hideMark/>
          </w:tcPr>
          <w:p w14:paraId="78028D7B" w14:textId="77777777" w:rsidR="002576CB" w:rsidRPr="00CE7C3C" w:rsidRDefault="002576CB" w:rsidP="00D5491F">
            <w:r w:rsidRPr="00CE7C3C">
              <w:rPr>
                <w:lang w:val="en-US"/>
              </w:rPr>
              <w:t>Increased grant agreement</w:t>
            </w:r>
          </w:p>
        </w:tc>
      </w:tr>
      <w:tr w:rsidR="002576CB" w:rsidRPr="00CE7C3C" w14:paraId="5A438468" w14:textId="77777777" w:rsidTr="002576CB">
        <w:trPr>
          <w:trHeight w:val="379"/>
        </w:trPr>
        <w:tc>
          <w:tcPr>
            <w:tcW w:w="1457" w:type="pct"/>
            <w:tcBorders>
              <w:top w:val="single" w:sz="4" w:space="0" w:color="3AA0DA"/>
              <w:left w:val="nil"/>
              <w:bottom w:val="single" w:sz="4" w:space="0" w:color="3AA0DA"/>
              <w:right w:val="single" w:sz="4" w:space="0" w:color="EFF2F6"/>
            </w:tcBorders>
            <w:tcMar>
              <w:top w:w="76" w:type="dxa"/>
              <w:left w:w="76" w:type="dxa"/>
              <w:bottom w:w="76" w:type="dxa"/>
              <w:right w:w="76" w:type="dxa"/>
            </w:tcMar>
            <w:hideMark/>
          </w:tcPr>
          <w:p w14:paraId="6F524963" w14:textId="77777777" w:rsidR="002576CB" w:rsidRPr="00CE7C3C" w:rsidRDefault="002576CB" w:rsidP="00D5491F">
            <w:r w:rsidRPr="00CE7C3C">
              <w:rPr>
                <w:lang w:val="en-US"/>
              </w:rPr>
              <w:t>Membership Fees</w:t>
            </w:r>
          </w:p>
        </w:tc>
        <w:tc>
          <w:tcPr>
            <w:tcW w:w="663" w:type="pct"/>
            <w:tcBorders>
              <w:top w:val="single" w:sz="4" w:space="0" w:color="3AA0DA"/>
              <w:left w:val="single" w:sz="4" w:space="0" w:color="EFF2F6"/>
              <w:bottom w:val="single" w:sz="4" w:space="0" w:color="3AA0DA"/>
              <w:right w:val="single" w:sz="4" w:space="0" w:color="EFF2F6"/>
            </w:tcBorders>
            <w:tcMar>
              <w:top w:w="76" w:type="dxa"/>
              <w:left w:w="76" w:type="dxa"/>
              <w:bottom w:w="76" w:type="dxa"/>
              <w:right w:w="76" w:type="dxa"/>
            </w:tcMar>
            <w:hideMark/>
          </w:tcPr>
          <w:p w14:paraId="42D64237" w14:textId="77777777" w:rsidR="002576CB" w:rsidRPr="00CE7C3C" w:rsidRDefault="002576CB" w:rsidP="00D5491F">
            <w:r w:rsidRPr="00CE7C3C">
              <w:rPr>
                <w:lang w:val="en-US"/>
              </w:rPr>
              <w:t>123</w:t>
            </w:r>
          </w:p>
        </w:tc>
        <w:tc>
          <w:tcPr>
            <w:tcW w:w="758" w:type="pct"/>
            <w:tcBorders>
              <w:top w:val="single" w:sz="4" w:space="0" w:color="3AA0DA"/>
              <w:left w:val="single" w:sz="4" w:space="0" w:color="EFF2F6"/>
              <w:bottom w:val="single" w:sz="4" w:space="0" w:color="3AA0DA"/>
              <w:right w:val="single" w:sz="4" w:space="0" w:color="EFF2F6"/>
            </w:tcBorders>
            <w:tcMar>
              <w:top w:w="76" w:type="dxa"/>
              <w:left w:w="76" w:type="dxa"/>
              <w:bottom w:w="76" w:type="dxa"/>
              <w:right w:w="76" w:type="dxa"/>
            </w:tcMar>
            <w:hideMark/>
          </w:tcPr>
          <w:p w14:paraId="30B71D82" w14:textId="77777777" w:rsidR="002576CB" w:rsidRPr="00CE7C3C" w:rsidRDefault="002576CB" w:rsidP="00D5491F">
            <w:r w:rsidRPr="00CE7C3C">
              <w:rPr>
                <w:lang w:val="en-US"/>
              </w:rPr>
              <w:t>128</w:t>
            </w:r>
          </w:p>
        </w:tc>
        <w:tc>
          <w:tcPr>
            <w:tcW w:w="833" w:type="pct"/>
            <w:tcBorders>
              <w:top w:val="single" w:sz="4" w:space="0" w:color="3AA0DA"/>
              <w:left w:val="single" w:sz="4" w:space="0" w:color="EFF2F6"/>
              <w:bottom w:val="single" w:sz="4" w:space="0" w:color="3AA0DA"/>
              <w:right w:val="single" w:sz="4" w:space="0" w:color="EFF2F6"/>
            </w:tcBorders>
            <w:tcMar>
              <w:top w:w="76" w:type="dxa"/>
              <w:left w:w="76" w:type="dxa"/>
              <w:bottom w:w="76" w:type="dxa"/>
              <w:right w:w="76" w:type="dxa"/>
            </w:tcMar>
            <w:hideMark/>
          </w:tcPr>
          <w:p w14:paraId="7BF3E2C8" w14:textId="77777777" w:rsidR="002576CB" w:rsidRPr="00CE7C3C" w:rsidRDefault="002576CB" w:rsidP="00D5491F">
            <w:r w:rsidRPr="00CE7C3C">
              <w:rPr>
                <w:lang w:val="en-US"/>
              </w:rPr>
              <w:t>4%</w:t>
            </w:r>
          </w:p>
        </w:tc>
        <w:tc>
          <w:tcPr>
            <w:tcW w:w="1290" w:type="pct"/>
            <w:tcBorders>
              <w:top w:val="single" w:sz="4" w:space="0" w:color="3AA0DA"/>
              <w:left w:val="single" w:sz="4" w:space="0" w:color="EFF2F6"/>
              <w:bottom w:val="single" w:sz="4" w:space="0" w:color="3AA0DA"/>
              <w:right w:val="nil"/>
            </w:tcBorders>
            <w:tcMar>
              <w:top w:w="76" w:type="dxa"/>
              <w:left w:w="76" w:type="dxa"/>
              <w:bottom w:w="76" w:type="dxa"/>
              <w:right w:w="76" w:type="dxa"/>
            </w:tcMar>
            <w:hideMark/>
          </w:tcPr>
          <w:p w14:paraId="56501BB3" w14:textId="77777777" w:rsidR="002576CB" w:rsidRPr="00CE7C3C" w:rsidRDefault="002576CB" w:rsidP="00D5491F">
            <w:r w:rsidRPr="00CE7C3C">
              <w:rPr>
                <w:lang w:val="en-US"/>
              </w:rPr>
              <w:t>Increased by CPI</w:t>
            </w:r>
          </w:p>
        </w:tc>
      </w:tr>
      <w:tr w:rsidR="002576CB" w:rsidRPr="00CE7C3C" w14:paraId="65EE62BC" w14:textId="77777777" w:rsidTr="002576CB">
        <w:trPr>
          <w:trHeight w:val="992"/>
        </w:trPr>
        <w:tc>
          <w:tcPr>
            <w:tcW w:w="1457" w:type="pct"/>
            <w:tcBorders>
              <w:top w:val="single" w:sz="4" w:space="0" w:color="3AA0DA"/>
              <w:left w:val="nil"/>
              <w:bottom w:val="single" w:sz="4" w:space="0" w:color="3AA0DA"/>
              <w:right w:val="single" w:sz="4" w:space="0" w:color="EFF2F6"/>
            </w:tcBorders>
            <w:tcMar>
              <w:top w:w="76" w:type="dxa"/>
              <w:left w:w="76" w:type="dxa"/>
              <w:bottom w:w="76" w:type="dxa"/>
              <w:right w:w="76" w:type="dxa"/>
            </w:tcMar>
            <w:hideMark/>
          </w:tcPr>
          <w:p w14:paraId="6B3B7693" w14:textId="77777777" w:rsidR="002576CB" w:rsidRPr="00CE7C3C" w:rsidRDefault="002576CB" w:rsidP="00D5491F">
            <w:r w:rsidRPr="00CE7C3C">
              <w:rPr>
                <w:lang w:val="en-US"/>
              </w:rPr>
              <w:t>Deferred Revenue (residual)</w:t>
            </w:r>
          </w:p>
        </w:tc>
        <w:tc>
          <w:tcPr>
            <w:tcW w:w="663" w:type="pct"/>
            <w:tcBorders>
              <w:top w:val="single" w:sz="4" w:space="0" w:color="3AA0DA"/>
              <w:left w:val="single" w:sz="4" w:space="0" w:color="EFF2F6"/>
              <w:bottom w:val="single" w:sz="4" w:space="0" w:color="3AA0DA"/>
              <w:right w:val="single" w:sz="4" w:space="0" w:color="EFF2F6"/>
            </w:tcBorders>
            <w:tcMar>
              <w:top w:w="76" w:type="dxa"/>
              <w:left w:w="76" w:type="dxa"/>
              <w:bottom w:w="76" w:type="dxa"/>
              <w:right w:w="76" w:type="dxa"/>
            </w:tcMar>
            <w:hideMark/>
          </w:tcPr>
          <w:p w14:paraId="6340DBB6" w14:textId="77777777" w:rsidR="002576CB" w:rsidRPr="00CE7C3C" w:rsidRDefault="002576CB" w:rsidP="00D5491F">
            <w:r w:rsidRPr="00CE7C3C">
              <w:rPr>
                <w:lang w:val="en-US"/>
              </w:rPr>
              <w:t>80</w:t>
            </w:r>
          </w:p>
        </w:tc>
        <w:tc>
          <w:tcPr>
            <w:tcW w:w="758" w:type="pct"/>
            <w:tcBorders>
              <w:top w:val="single" w:sz="4" w:space="0" w:color="3AA0DA"/>
              <w:left w:val="single" w:sz="4" w:space="0" w:color="EFF2F6"/>
              <w:bottom w:val="single" w:sz="4" w:space="0" w:color="3AA0DA"/>
              <w:right w:val="single" w:sz="4" w:space="0" w:color="EFF2F6"/>
            </w:tcBorders>
            <w:tcMar>
              <w:top w:w="76" w:type="dxa"/>
              <w:left w:w="76" w:type="dxa"/>
              <w:bottom w:w="76" w:type="dxa"/>
              <w:right w:w="76" w:type="dxa"/>
            </w:tcMar>
            <w:hideMark/>
          </w:tcPr>
          <w:p w14:paraId="4A39CE20" w14:textId="77777777" w:rsidR="002576CB" w:rsidRPr="00CE7C3C" w:rsidRDefault="002576CB" w:rsidP="00D5491F">
            <w:r w:rsidRPr="00CE7C3C">
              <w:rPr>
                <w:lang w:val="en-US"/>
              </w:rPr>
              <w:t>298</w:t>
            </w:r>
          </w:p>
        </w:tc>
        <w:tc>
          <w:tcPr>
            <w:tcW w:w="833" w:type="pct"/>
            <w:tcBorders>
              <w:top w:val="single" w:sz="4" w:space="0" w:color="3AA0DA"/>
              <w:left w:val="single" w:sz="4" w:space="0" w:color="EFF2F6"/>
              <w:bottom w:val="single" w:sz="4" w:space="0" w:color="3AA0DA"/>
              <w:right w:val="single" w:sz="4" w:space="0" w:color="EFF2F6"/>
            </w:tcBorders>
            <w:tcMar>
              <w:top w:w="76" w:type="dxa"/>
              <w:left w:w="76" w:type="dxa"/>
              <w:bottom w:w="76" w:type="dxa"/>
              <w:right w:w="76" w:type="dxa"/>
            </w:tcMar>
            <w:hideMark/>
          </w:tcPr>
          <w:p w14:paraId="26A588E1" w14:textId="77777777" w:rsidR="002576CB" w:rsidRPr="00CE7C3C" w:rsidRDefault="002576CB" w:rsidP="00D5491F">
            <w:r w:rsidRPr="00CE7C3C">
              <w:rPr>
                <w:lang w:val="en-US"/>
              </w:rPr>
              <w:t>275%</w:t>
            </w:r>
          </w:p>
        </w:tc>
        <w:tc>
          <w:tcPr>
            <w:tcW w:w="1290" w:type="pct"/>
            <w:tcBorders>
              <w:top w:val="single" w:sz="4" w:space="0" w:color="3AA0DA"/>
              <w:left w:val="single" w:sz="4" w:space="0" w:color="EFF2F6"/>
              <w:bottom w:val="single" w:sz="4" w:space="0" w:color="3AA0DA"/>
              <w:right w:val="nil"/>
            </w:tcBorders>
            <w:tcMar>
              <w:top w:w="76" w:type="dxa"/>
              <w:left w:w="76" w:type="dxa"/>
              <w:bottom w:w="76" w:type="dxa"/>
              <w:right w:w="76" w:type="dxa"/>
            </w:tcMar>
            <w:hideMark/>
          </w:tcPr>
          <w:p w14:paraId="3780DEC1" w14:textId="77777777" w:rsidR="002576CB" w:rsidRPr="00CE7C3C" w:rsidRDefault="002576CB" w:rsidP="00D5491F">
            <w:r w:rsidRPr="00CE7C3C">
              <w:rPr>
                <w:lang w:val="en-US"/>
              </w:rPr>
              <w:t xml:space="preserve">To be expected as capability is built and initiatives implemented </w:t>
            </w:r>
          </w:p>
        </w:tc>
      </w:tr>
    </w:tbl>
    <w:p w14:paraId="72029684" w14:textId="77777777" w:rsidR="000E4242" w:rsidRDefault="000E4242" w:rsidP="000E4242">
      <w:pPr>
        <w:rPr>
          <w:sz w:val="24"/>
          <w:szCs w:val="24"/>
        </w:rPr>
      </w:pPr>
      <w:r w:rsidRPr="000E4242">
        <w:rPr>
          <w:sz w:val="24"/>
          <w:szCs w:val="24"/>
        </w:rPr>
        <w:t>The benefits of the Government</w:t>
      </w:r>
      <w:r w:rsidRPr="000E4242">
        <w:rPr>
          <w:sz w:val="24"/>
          <w:szCs w:val="24"/>
        </w:rPr>
        <w:t>’</w:t>
      </w:r>
      <w:r w:rsidRPr="000E4242">
        <w:rPr>
          <w:sz w:val="24"/>
          <w:szCs w:val="24"/>
        </w:rPr>
        <w:t>s COVID-19 stimulus measures remain in retained earnings of approximately $100,000.</w:t>
      </w:r>
      <w:r w:rsidRPr="000E4242">
        <w:rPr>
          <w:sz w:val="24"/>
          <w:szCs w:val="24"/>
        </w:rPr>
        <w:br/>
        <w:t>Unused grant revenue for 2024</w:t>
      </w:r>
      <w:r w:rsidRPr="000E4242">
        <w:rPr>
          <w:sz w:val="24"/>
          <w:szCs w:val="24"/>
        </w:rPr>
        <w:t>–</w:t>
      </w:r>
      <w:r w:rsidRPr="000E4242">
        <w:rPr>
          <w:sz w:val="24"/>
          <w:szCs w:val="24"/>
        </w:rPr>
        <w:t>25 is approximately $2.98 million, which is consistent with the time required to embed growth initiatives and implement new strategies.</w:t>
      </w:r>
    </w:p>
    <w:p w14:paraId="211A0ED9" w14:textId="77777777" w:rsidR="00D8309A" w:rsidRDefault="00D8309A" w:rsidP="000E4242">
      <w:pPr>
        <w:rPr>
          <w:b/>
          <w:bCs/>
          <w:sz w:val="24"/>
          <w:szCs w:val="24"/>
        </w:rPr>
      </w:pPr>
    </w:p>
    <w:p w14:paraId="09E80A35" w14:textId="00C85964" w:rsidR="002D292F" w:rsidRPr="002576CB" w:rsidRDefault="002D292F" w:rsidP="000E4242">
      <w:pPr>
        <w:rPr>
          <w:b/>
          <w:bCs/>
          <w:sz w:val="24"/>
          <w:szCs w:val="24"/>
        </w:rPr>
      </w:pPr>
      <w:r w:rsidRPr="002576CB">
        <w:rPr>
          <w:b/>
          <w:bCs/>
          <w:sz w:val="24"/>
          <w:szCs w:val="24"/>
        </w:rPr>
        <w:t xml:space="preserve">A note on expenses </w:t>
      </w:r>
    </w:p>
    <w:p w14:paraId="6EF28FAF" w14:textId="6A7F20DC" w:rsidR="002D292F" w:rsidRPr="000E4242" w:rsidRDefault="002D292F" w:rsidP="000E4242">
      <w:pPr>
        <w:rPr>
          <w:sz w:val="24"/>
          <w:szCs w:val="24"/>
        </w:rPr>
      </w:pPr>
      <w:r>
        <w:rPr>
          <w:b/>
          <w:noProof/>
          <w:color w:val="ED7D31" w:themeColor="accent2"/>
        </w:rPr>
        <w:drawing>
          <wp:inline distT="0" distB="0" distL="0" distR="0" wp14:anchorId="2A1C9487" wp14:editId="0765FBAB">
            <wp:extent cx="5943600" cy="2902469"/>
            <wp:effectExtent l="0" t="0" r="0" b="0"/>
            <wp:docPr id="17484051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3600" cy="2902469"/>
                    </a:xfrm>
                    <a:prstGeom prst="rect">
                      <a:avLst/>
                    </a:prstGeom>
                    <a:noFill/>
                  </pic:spPr>
                </pic:pic>
              </a:graphicData>
            </a:graphic>
          </wp:inline>
        </w:drawing>
      </w:r>
    </w:p>
    <w:p w14:paraId="2871954D" w14:textId="77777777" w:rsidR="000E4242" w:rsidRPr="000E4242" w:rsidRDefault="000E4242" w:rsidP="000E4242">
      <w:pPr>
        <w:rPr>
          <w:b/>
          <w:bCs/>
          <w:color w:val="ED7D31" w:themeColor="accent2"/>
          <w:sz w:val="24"/>
          <w:szCs w:val="24"/>
        </w:rPr>
      </w:pPr>
      <w:r w:rsidRPr="000E4242">
        <w:rPr>
          <w:b/>
          <w:bCs/>
          <w:color w:val="ED7D31" w:themeColor="accent2"/>
          <w:sz w:val="24"/>
          <w:szCs w:val="24"/>
        </w:rPr>
        <w:lastRenderedPageBreak/>
        <w:t>Auditor Reappointment</w:t>
      </w:r>
    </w:p>
    <w:p w14:paraId="5CF7C4ED" w14:textId="77777777" w:rsidR="008D3D21" w:rsidRPr="008D3D21" w:rsidRDefault="008D3D21" w:rsidP="008D3D21">
      <w:pPr>
        <w:rPr>
          <w:sz w:val="24"/>
          <w:szCs w:val="24"/>
        </w:rPr>
      </w:pPr>
      <w:r w:rsidRPr="008D3D21">
        <w:rPr>
          <w:sz w:val="24"/>
          <w:szCs w:val="24"/>
        </w:rPr>
        <w:t xml:space="preserve">GNGB seeks member approval to reappoint </w:t>
      </w:r>
      <w:r w:rsidRPr="008D3D21">
        <w:rPr>
          <w:b/>
          <w:bCs/>
          <w:sz w:val="24"/>
          <w:szCs w:val="24"/>
        </w:rPr>
        <w:t>HLB Mann Judd</w:t>
      </w:r>
      <w:r w:rsidRPr="008D3D21">
        <w:rPr>
          <w:sz w:val="24"/>
          <w:szCs w:val="24"/>
        </w:rPr>
        <w:t xml:space="preserve"> as auditor for the next period. HLB Mann Judd has conducted GNGB</w:t>
      </w:r>
      <w:r w:rsidRPr="008D3D21">
        <w:rPr>
          <w:sz w:val="24"/>
          <w:szCs w:val="24"/>
        </w:rPr>
        <w:t>’</w:t>
      </w:r>
      <w:r w:rsidRPr="008D3D21">
        <w:rPr>
          <w:sz w:val="24"/>
          <w:szCs w:val="24"/>
        </w:rPr>
        <w:t>s audits since inception, completing nine years to date.</w:t>
      </w:r>
    </w:p>
    <w:p w14:paraId="284A9BC1" w14:textId="77777777" w:rsidR="008D3D21" w:rsidRPr="008D3D21" w:rsidRDefault="008D3D21" w:rsidP="008D3D21">
      <w:pPr>
        <w:rPr>
          <w:sz w:val="24"/>
          <w:szCs w:val="24"/>
        </w:rPr>
      </w:pPr>
      <w:r w:rsidRPr="008D3D21">
        <w:rPr>
          <w:sz w:val="24"/>
          <w:szCs w:val="24"/>
        </w:rPr>
        <w:t>Following a 2022 review of audit rotation best practices in the not-for-profit sector, the Board determined rotation was not yet required. However, consistent with good governance principles, the 10th audit year will be the last for this partner. A review process for appointing a new auditor will be undertaken ahead of the next member meeting.</w:t>
      </w:r>
    </w:p>
    <w:p w14:paraId="1A899A10" w14:textId="77777777" w:rsidR="000E4242" w:rsidRPr="000E4242" w:rsidRDefault="000E4242" w:rsidP="000E4242">
      <w:pPr>
        <w:rPr>
          <w:b/>
          <w:bCs/>
          <w:color w:val="ED7D31" w:themeColor="accent2"/>
          <w:sz w:val="24"/>
          <w:szCs w:val="24"/>
        </w:rPr>
      </w:pPr>
      <w:r w:rsidRPr="000E4242">
        <w:rPr>
          <w:b/>
          <w:bCs/>
          <w:color w:val="ED7D31" w:themeColor="accent2"/>
          <w:sz w:val="24"/>
          <w:szCs w:val="24"/>
        </w:rPr>
        <w:t>2025</w:t>
      </w:r>
      <w:r w:rsidRPr="000E4242">
        <w:rPr>
          <w:b/>
          <w:bCs/>
          <w:color w:val="ED7D31" w:themeColor="accent2"/>
          <w:sz w:val="24"/>
          <w:szCs w:val="24"/>
        </w:rPr>
        <w:t>–</w:t>
      </w:r>
      <w:r w:rsidRPr="000E4242">
        <w:rPr>
          <w:b/>
          <w:bCs/>
          <w:color w:val="ED7D31" w:themeColor="accent2"/>
          <w:sz w:val="24"/>
          <w:szCs w:val="24"/>
        </w:rPr>
        <w:t>2026 Priorities: Turning Strategy into Action</w:t>
      </w:r>
    </w:p>
    <w:p w14:paraId="0636ED92" w14:textId="77777777" w:rsidR="009B4AD1" w:rsidRDefault="009B4AD1" w:rsidP="009B4AD1">
      <w:pPr>
        <w:rPr>
          <w:sz w:val="24"/>
          <w:szCs w:val="24"/>
        </w:rPr>
      </w:pPr>
      <w:r w:rsidRPr="009B4AD1">
        <w:rPr>
          <w:sz w:val="24"/>
          <w:szCs w:val="24"/>
        </w:rPr>
        <w:t>Looking ahead, GNGB</w:t>
      </w:r>
      <w:r w:rsidRPr="009B4AD1">
        <w:rPr>
          <w:sz w:val="24"/>
          <w:szCs w:val="24"/>
        </w:rPr>
        <w:t>’</w:t>
      </w:r>
      <w:r w:rsidRPr="009B4AD1">
        <w:rPr>
          <w:sz w:val="24"/>
          <w:szCs w:val="24"/>
        </w:rPr>
        <w:t>s focus remains on translating strategy into tangible outcomes that strengthen the network and deliver value to all participants.</w:t>
      </w:r>
    </w:p>
    <w:p w14:paraId="7FC3CA87" w14:textId="2B62BE9A" w:rsidR="000E4242" w:rsidRPr="009B4AD1" w:rsidRDefault="000E4242" w:rsidP="009B4AD1">
      <w:pPr>
        <w:pStyle w:val="ListParagraph"/>
        <w:numPr>
          <w:ilvl w:val="0"/>
          <w:numId w:val="29"/>
        </w:numPr>
        <w:rPr>
          <w:sz w:val="24"/>
          <w:szCs w:val="24"/>
        </w:rPr>
      </w:pPr>
      <w:r w:rsidRPr="009B4AD1">
        <w:rPr>
          <w:sz w:val="24"/>
          <w:szCs w:val="24"/>
        </w:rPr>
        <w:t>Support for the implementation of the payday super measure, including:</w:t>
      </w:r>
    </w:p>
    <w:p w14:paraId="153D887E" w14:textId="53EFBFDB" w:rsidR="000E4242" w:rsidRPr="000E4242" w:rsidRDefault="000E4242" w:rsidP="000E4242">
      <w:pPr>
        <w:numPr>
          <w:ilvl w:val="1"/>
          <w:numId w:val="26"/>
        </w:numPr>
        <w:rPr>
          <w:sz w:val="24"/>
          <w:szCs w:val="24"/>
        </w:rPr>
      </w:pPr>
      <w:r w:rsidRPr="000E4242">
        <w:rPr>
          <w:sz w:val="24"/>
          <w:szCs w:val="24"/>
        </w:rPr>
        <w:t>Representing Gateway Operators to ensure practical, workable changes for the STN</w:t>
      </w:r>
      <w:r w:rsidR="005146F8">
        <w:rPr>
          <w:sz w:val="24"/>
          <w:szCs w:val="24"/>
        </w:rPr>
        <w:t xml:space="preserve"> in relation to payday super</w:t>
      </w:r>
      <w:r w:rsidRPr="000E4242">
        <w:rPr>
          <w:sz w:val="24"/>
          <w:szCs w:val="24"/>
        </w:rPr>
        <w:t>.</w:t>
      </w:r>
    </w:p>
    <w:p w14:paraId="74AA0F87" w14:textId="77777777" w:rsidR="000E4242" w:rsidRPr="000E4242" w:rsidRDefault="000E4242" w:rsidP="000E4242">
      <w:pPr>
        <w:numPr>
          <w:ilvl w:val="1"/>
          <w:numId w:val="26"/>
        </w:numPr>
        <w:rPr>
          <w:sz w:val="24"/>
          <w:szCs w:val="24"/>
        </w:rPr>
      </w:pPr>
      <w:r w:rsidRPr="000E4242">
        <w:rPr>
          <w:sz w:val="24"/>
          <w:szCs w:val="24"/>
        </w:rPr>
        <w:t>Finalising the impact assessment of STN Governance Framework changes.</w:t>
      </w:r>
    </w:p>
    <w:p w14:paraId="3B22B25E" w14:textId="77777777" w:rsidR="000E4242" w:rsidRPr="000E4242" w:rsidRDefault="000E4242" w:rsidP="000E4242">
      <w:pPr>
        <w:numPr>
          <w:ilvl w:val="1"/>
          <w:numId w:val="26"/>
        </w:numPr>
        <w:rPr>
          <w:sz w:val="24"/>
          <w:szCs w:val="24"/>
        </w:rPr>
      </w:pPr>
      <w:r w:rsidRPr="000E4242">
        <w:rPr>
          <w:sz w:val="24"/>
          <w:szCs w:val="24"/>
        </w:rPr>
        <w:t>Developing an STN Availability Dashboard to improve transparency for industry.</w:t>
      </w:r>
    </w:p>
    <w:p w14:paraId="3D219199" w14:textId="77777777" w:rsidR="000E4242" w:rsidRPr="000E4242" w:rsidRDefault="000E4242" w:rsidP="000E4242">
      <w:pPr>
        <w:numPr>
          <w:ilvl w:val="1"/>
          <w:numId w:val="26"/>
        </w:numPr>
        <w:rPr>
          <w:sz w:val="24"/>
          <w:szCs w:val="24"/>
        </w:rPr>
      </w:pPr>
      <w:r w:rsidRPr="000E4242">
        <w:rPr>
          <w:sz w:val="24"/>
          <w:szCs w:val="24"/>
        </w:rPr>
        <w:t>Implementing STN Health Reporting to identify systemic risks and inefficiencies.</w:t>
      </w:r>
    </w:p>
    <w:p w14:paraId="4BDB5F11" w14:textId="77777777" w:rsidR="000E4242" w:rsidRPr="000E4242" w:rsidRDefault="000E4242" w:rsidP="000E4242">
      <w:pPr>
        <w:numPr>
          <w:ilvl w:val="1"/>
          <w:numId w:val="26"/>
        </w:numPr>
        <w:rPr>
          <w:sz w:val="24"/>
          <w:szCs w:val="24"/>
        </w:rPr>
      </w:pPr>
      <w:r w:rsidRPr="000E4242">
        <w:rPr>
          <w:sz w:val="24"/>
          <w:szCs w:val="24"/>
        </w:rPr>
        <w:t>Facilitating interoperability testing and cooperation across standard changes.</w:t>
      </w:r>
    </w:p>
    <w:p w14:paraId="39DAE9C4" w14:textId="77777777" w:rsidR="000E4242" w:rsidRPr="000E4242" w:rsidRDefault="000E4242" w:rsidP="000E4242">
      <w:pPr>
        <w:numPr>
          <w:ilvl w:val="0"/>
          <w:numId w:val="26"/>
        </w:numPr>
        <w:rPr>
          <w:sz w:val="24"/>
          <w:szCs w:val="24"/>
        </w:rPr>
      </w:pPr>
      <w:r w:rsidRPr="000E4242">
        <w:rPr>
          <w:sz w:val="24"/>
          <w:szCs w:val="24"/>
        </w:rPr>
        <w:t>Embedding the new risk management tool into GNGB</w:t>
      </w:r>
      <w:r w:rsidRPr="000E4242">
        <w:rPr>
          <w:sz w:val="24"/>
          <w:szCs w:val="24"/>
        </w:rPr>
        <w:t>’</w:t>
      </w:r>
      <w:r w:rsidRPr="000E4242">
        <w:rPr>
          <w:sz w:val="24"/>
          <w:szCs w:val="24"/>
        </w:rPr>
        <w:t>s workflow and exploring broader applications.</w:t>
      </w:r>
    </w:p>
    <w:p w14:paraId="1E46CED6" w14:textId="77777777" w:rsidR="000E4242" w:rsidRPr="000E4242" w:rsidRDefault="000E4242" w:rsidP="000E4242">
      <w:pPr>
        <w:numPr>
          <w:ilvl w:val="0"/>
          <w:numId w:val="26"/>
        </w:numPr>
        <w:rPr>
          <w:sz w:val="24"/>
          <w:szCs w:val="24"/>
        </w:rPr>
      </w:pPr>
      <w:r w:rsidRPr="000E4242">
        <w:rPr>
          <w:sz w:val="24"/>
          <w:szCs w:val="24"/>
        </w:rPr>
        <w:t xml:space="preserve">Expanding ecosystem resilience testing, building on the community established through </w:t>
      </w:r>
      <w:r w:rsidRPr="000E4242">
        <w:rPr>
          <w:i/>
          <w:iCs/>
          <w:sz w:val="24"/>
          <w:szCs w:val="24"/>
        </w:rPr>
        <w:t xml:space="preserve">Operation </w:t>
      </w:r>
      <w:proofErr w:type="gramStart"/>
      <w:r w:rsidRPr="000E4242">
        <w:rPr>
          <w:i/>
          <w:iCs/>
          <w:sz w:val="24"/>
          <w:szCs w:val="24"/>
        </w:rPr>
        <w:t>Honey Bee</w:t>
      </w:r>
      <w:proofErr w:type="gramEnd"/>
      <w:r w:rsidRPr="000E4242">
        <w:rPr>
          <w:sz w:val="24"/>
          <w:szCs w:val="24"/>
        </w:rPr>
        <w:t>.</w:t>
      </w:r>
    </w:p>
    <w:p w14:paraId="5CC60AB4" w14:textId="77777777" w:rsidR="000E4242" w:rsidRPr="000E4242" w:rsidRDefault="000E4242" w:rsidP="000E4242">
      <w:pPr>
        <w:rPr>
          <w:b/>
          <w:bCs/>
          <w:color w:val="ED7D31" w:themeColor="accent2"/>
          <w:sz w:val="24"/>
          <w:szCs w:val="24"/>
        </w:rPr>
      </w:pPr>
      <w:r w:rsidRPr="000E4242">
        <w:rPr>
          <w:b/>
          <w:bCs/>
          <w:color w:val="ED7D31" w:themeColor="accent2"/>
          <w:sz w:val="24"/>
          <w:szCs w:val="24"/>
        </w:rPr>
        <w:t>Acknowledgements</w:t>
      </w:r>
    </w:p>
    <w:p w14:paraId="73D5AC6D" w14:textId="77777777" w:rsidR="00BA6A6D" w:rsidRDefault="00BA6A6D" w:rsidP="00BA6A6D">
      <w:pPr>
        <w:ind w:left="360"/>
        <w:rPr>
          <w:sz w:val="24"/>
          <w:szCs w:val="24"/>
        </w:rPr>
      </w:pPr>
      <w:r w:rsidRPr="00BA6A6D">
        <w:rPr>
          <w:sz w:val="24"/>
          <w:szCs w:val="24"/>
        </w:rPr>
        <w:t>GNGB</w:t>
      </w:r>
      <w:r w:rsidRPr="00BA6A6D">
        <w:rPr>
          <w:sz w:val="24"/>
          <w:szCs w:val="24"/>
        </w:rPr>
        <w:t>’</w:t>
      </w:r>
      <w:r w:rsidRPr="00BA6A6D">
        <w:rPr>
          <w:sz w:val="24"/>
          <w:szCs w:val="24"/>
        </w:rPr>
        <w:t>s achievements are made possible through collaboration, expertise, and shared purpose.</w:t>
      </w:r>
    </w:p>
    <w:p w14:paraId="10831E3E" w14:textId="77777777" w:rsidR="00807C08" w:rsidRPr="00807C08" w:rsidRDefault="00807C08" w:rsidP="00807C08">
      <w:pPr>
        <w:numPr>
          <w:ilvl w:val="0"/>
          <w:numId w:val="30"/>
        </w:numPr>
        <w:rPr>
          <w:sz w:val="24"/>
          <w:szCs w:val="24"/>
        </w:rPr>
      </w:pPr>
      <w:r w:rsidRPr="00807C08">
        <w:rPr>
          <w:b/>
          <w:bCs/>
          <w:sz w:val="24"/>
          <w:szCs w:val="24"/>
        </w:rPr>
        <w:t>The GNGB team</w:t>
      </w:r>
      <w:r w:rsidRPr="00807C08">
        <w:rPr>
          <w:sz w:val="24"/>
          <w:szCs w:val="24"/>
        </w:rPr>
        <w:t xml:space="preserve"> </w:t>
      </w:r>
      <w:r w:rsidRPr="00807C08">
        <w:rPr>
          <w:sz w:val="24"/>
          <w:szCs w:val="24"/>
        </w:rPr>
        <w:t>—</w:t>
      </w:r>
      <w:r w:rsidRPr="00807C08">
        <w:rPr>
          <w:sz w:val="24"/>
          <w:szCs w:val="24"/>
        </w:rPr>
        <w:t xml:space="preserve"> Mary, Ross, and Sophie </w:t>
      </w:r>
      <w:r w:rsidRPr="00807C08">
        <w:rPr>
          <w:sz w:val="24"/>
          <w:szCs w:val="24"/>
        </w:rPr>
        <w:t>—</w:t>
      </w:r>
      <w:r w:rsidRPr="00807C08">
        <w:rPr>
          <w:sz w:val="24"/>
          <w:szCs w:val="24"/>
        </w:rPr>
        <w:t xml:space="preserve"> for their professionalism, commitment, and passion for the STN.</w:t>
      </w:r>
    </w:p>
    <w:p w14:paraId="112BE6ED" w14:textId="77777777" w:rsidR="00807C08" w:rsidRPr="00807C08" w:rsidRDefault="00807C08" w:rsidP="00807C08">
      <w:pPr>
        <w:numPr>
          <w:ilvl w:val="0"/>
          <w:numId w:val="30"/>
        </w:numPr>
        <w:rPr>
          <w:sz w:val="24"/>
          <w:szCs w:val="24"/>
        </w:rPr>
      </w:pPr>
      <w:r w:rsidRPr="00807C08">
        <w:rPr>
          <w:b/>
          <w:bCs/>
          <w:sz w:val="24"/>
          <w:szCs w:val="24"/>
        </w:rPr>
        <w:t>Jan</w:t>
      </w:r>
      <w:r w:rsidRPr="00807C08">
        <w:rPr>
          <w:sz w:val="24"/>
          <w:szCs w:val="24"/>
        </w:rPr>
        <w:t>, for her continued guidance, generosity, and dedication to GNGB</w:t>
      </w:r>
      <w:r w:rsidRPr="00807C08">
        <w:rPr>
          <w:sz w:val="24"/>
          <w:szCs w:val="24"/>
        </w:rPr>
        <w:t>’</w:t>
      </w:r>
      <w:r w:rsidRPr="00807C08">
        <w:rPr>
          <w:sz w:val="24"/>
          <w:szCs w:val="24"/>
        </w:rPr>
        <w:t>s mission.</w:t>
      </w:r>
    </w:p>
    <w:p w14:paraId="5C46C0A0" w14:textId="24DE8C50" w:rsidR="00807C08" w:rsidRPr="00807C08" w:rsidRDefault="00807C08" w:rsidP="00807C08">
      <w:pPr>
        <w:numPr>
          <w:ilvl w:val="0"/>
          <w:numId w:val="30"/>
        </w:numPr>
        <w:rPr>
          <w:sz w:val="24"/>
          <w:szCs w:val="24"/>
        </w:rPr>
      </w:pPr>
      <w:r w:rsidRPr="00807C08">
        <w:rPr>
          <w:b/>
          <w:bCs/>
          <w:sz w:val="24"/>
          <w:szCs w:val="24"/>
        </w:rPr>
        <w:t xml:space="preserve">Our </w:t>
      </w:r>
      <w:proofErr w:type="gramStart"/>
      <w:r w:rsidRPr="00807C08">
        <w:rPr>
          <w:b/>
          <w:bCs/>
          <w:sz w:val="24"/>
          <w:szCs w:val="24"/>
        </w:rPr>
        <w:t>Directors</w:t>
      </w:r>
      <w:proofErr w:type="gramEnd"/>
      <w:r w:rsidRPr="00807C08">
        <w:rPr>
          <w:sz w:val="24"/>
          <w:szCs w:val="24"/>
        </w:rPr>
        <w:t xml:space="preserve"> for their advice, governance, and leadership.</w:t>
      </w:r>
    </w:p>
    <w:p w14:paraId="2158B29D" w14:textId="77777777" w:rsidR="00807C08" w:rsidRPr="00807C08" w:rsidRDefault="00807C08" w:rsidP="00807C08">
      <w:pPr>
        <w:numPr>
          <w:ilvl w:val="0"/>
          <w:numId w:val="30"/>
        </w:numPr>
        <w:rPr>
          <w:sz w:val="24"/>
          <w:szCs w:val="24"/>
        </w:rPr>
      </w:pPr>
      <w:r w:rsidRPr="00807C08">
        <w:rPr>
          <w:b/>
          <w:bCs/>
          <w:sz w:val="24"/>
          <w:szCs w:val="24"/>
        </w:rPr>
        <w:t>Co-sponsor members</w:t>
      </w:r>
      <w:r w:rsidRPr="00807C08">
        <w:rPr>
          <w:sz w:val="24"/>
          <w:szCs w:val="24"/>
        </w:rPr>
        <w:t xml:space="preserve"> </w:t>
      </w:r>
      <w:r w:rsidRPr="00807C08">
        <w:rPr>
          <w:sz w:val="24"/>
          <w:szCs w:val="24"/>
        </w:rPr>
        <w:t>—</w:t>
      </w:r>
      <w:r w:rsidRPr="00807C08">
        <w:rPr>
          <w:sz w:val="24"/>
          <w:szCs w:val="24"/>
        </w:rPr>
        <w:t xml:space="preserve"> FSC, ASFA, and DSPANZ </w:t>
      </w:r>
      <w:r w:rsidRPr="00807C08">
        <w:rPr>
          <w:sz w:val="24"/>
          <w:szCs w:val="24"/>
        </w:rPr>
        <w:t>—</w:t>
      </w:r>
      <w:r w:rsidRPr="00807C08">
        <w:rPr>
          <w:sz w:val="24"/>
          <w:szCs w:val="24"/>
        </w:rPr>
        <w:t xml:space="preserve"> for their constructive partnership.</w:t>
      </w:r>
    </w:p>
    <w:p w14:paraId="62C8E782" w14:textId="77777777" w:rsidR="00807C08" w:rsidRPr="00807C08" w:rsidRDefault="00807C08" w:rsidP="00807C08">
      <w:pPr>
        <w:numPr>
          <w:ilvl w:val="0"/>
          <w:numId w:val="30"/>
        </w:numPr>
        <w:rPr>
          <w:sz w:val="24"/>
          <w:szCs w:val="24"/>
        </w:rPr>
      </w:pPr>
      <w:r w:rsidRPr="00807C08">
        <w:rPr>
          <w:b/>
          <w:bCs/>
          <w:sz w:val="24"/>
          <w:szCs w:val="24"/>
        </w:rPr>
        <w:lastRenderedPageBreak/>
        <w:t>Gateway Operators</w:t>
      </w:r>
      <w:r w:rsidRPr="00807C08">
        <w:rPr>
          <w:sz w:val="24"/>
          <w:szCs w:val="24"/>
        </w:rPr>
        <w:t>, whose innovation, adaptability, and commitment to excellence ensure the stability and integrity of the STN.</w:t>
      </w:r>
    </w:p>
    <w:p w14:paraId="50664217" w14:textId="77777777" w:rsidR="00807C08" w:rsidRPr="00807C08" w:rsidRDefault="00807C08" w:rsidP="00807C08">
      <w:pPr>
        <w:rPr>
          <w:sz w:val="24"/>
          <w:szCs w:val="24"/>
        </w:rPr>
      </w:pPr>
      <w:r w:rsidRPr="00807C08">
        <w:rPr>
          <w:sz w:val="24"/>
          <w:szCs w:val="24"/>
        </w:rPr>
        <w:t>Together, we continue to strengthen the network, maximise the impact of every initiative, and ensure the best value for our members and the broader ecosystem.</w:t>
      </w:r>
    </w:p>
    <w:p w14:paraId="2A493A2E" w14:textId="77777777" w:rsidR="000E4242" w:rsidRPr="000E4242" w:rsidRDefault="000E4242" w:rsidP="000E4242">
      <w:pPr>
        <w:rPr>
          <w:sz w:val="24"/>
          <w:szCs w:val="24"/>
        </w:rPr>
      </w:pPr>
      <w:r w:rsidRPr="000E4242">
        <w:rPr>
          <w:sz w:val="24"/>
          <w:szCs w:val="24"/>
        </w:rPr>
        <w:t>Michelle Bower</w:t>
      </w:r>
      <w:r w:rsidRPr="000E4242">
        <w:rPr>
          <w:sz w:val="24"/>
          <w:szCs w:val="24"/>
        </w:rPr>
        <w:br/>
      </w:r>
      <w:r w:rsidRPr="000E4242">
        <w:rPr>
          <w:i/>
          <w:iCs/>
          <w:sz w:val="24"/>
          <w:szCs w:val="24"/>
        </w:rPr>
        <w:t>Chief Executive Officer</w:t>
      </w:r>
      <w:r w:rsidRPr="000E4242">
        <w:rPr>
          <w:sz w:val="24"/>
          <w:szCs w:val="24"/>
        </w:rPr>
        <w:br/>
        <w:t>GNGB</w:t>
      </w:r>
    </w:p>
    <w:p w14:paraId="373A66F9" w14:textId="6D60E67E" w:rsidR="00BB4E66" w:rsidRPr="000E4242" w:rsidRDefault="00BB4E66" w:rsidP="000E4242"/>
    <w:sectPr w:rsidR="00BB4E66" w:rsidRPr="000E4242" w:rsidSect="007C1E5C">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E6086C" w14:textId="77777777" w:rsidR="00FD18C0" w:rsidRDefault="00FD18C0" w:rsidP="00BB4E66">
      <w:pPr>
        <w:spacing w:after="0" w:line="240" w:lineRule="auto"/>
      </w:pPr>
      <w:r>
        <w:separator/>
      </w:r>
    </w:p>
  </w:endnote>
  <w:endnote w:type="continuationSeparator" w:id="0">
    <w:p w14:paraId="186A8C96" w14:textId="77777777" w:rsidR="00FD18C0" w:rsidRDefault="00FD18C0" w:rsidP="00BB4E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4811622"/>
      <w:docPartObj>
        <w:docPartGallery w:val="Page Numbers (Bottom of Page)"/>
        <w:docPartUnique/>
      </w:docPartObj>
    </w:sdtPr>
    <w:sdtEndPr>
      <w:rPr>
        <w:noProof/>
      </w:rPr>
    </w:sdtEndPr>
    <w:sdtContent>
      <w:p w14:paraId="60E9120B" w14:textId="327F2FC5" w:rsidR="00D8729F" w:rsidRDefault="00D8729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00C259C" w14:textId="77777777" w:rsidR="00D8729F" w:rsidRDefault="00D872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0A26E2" w14:textId="77777777" w:rsidR="00FD18C0" w:rsidRDefault="00FD18C0" w:rsidP="00BB4E66">
      <w:pPr>
        <w:spacing w:after="0" w:line="240" w:lineRule="auto"/>
      </w:pPr>
      <w:r>
        <w:separator/>
      </w:r>
    </w:p>
  </w:footnote>
  <w:footnote w:type="continuationSeparator" w:id="0">
    <w:p w14:paraId="768B2315" w14:textId="77777777" w:rsidR="00FD18C0" w:rsidRDefault="00FD18C0" w:rsidP="00BB4E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D3A9B" w14:textId="47817DC5" w:rsidR="00BB4E66" w:rsidRDefault="00924DD3">
    <w:pPr>
      <w:pStyle w:val="Header"/>
    </w:pPr>
    <w:r>
      <w:tab/>
    </w:r>
    <w:r>
      <w:tab/>
    </w:r>
    <w:r>
      <w:rPr>
        <w:noProof/>
      </w:rPr>
      <w:drawing>
        <wp:inline distT="0" distB="0" distL="0" distR="0" wp14:anchorId="45D44010" wp14:editId="1DD9C10B">
          <wp:extent cx="1532431" cy="59167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553642" cy="59986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A1CBC"/>
    <w:multiLevelType w:val="hybridMultilevel"/>
    <w:tmpl w:val="388836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A476F7E"/>
    <w:multiLevelType w:val="hybridMultilevel"/>
    <w:tmpl w:val="283CF046"/>
    <w:lvl w:ilvl="0" w:tplc="5EF2EDCC">
      <w:start w:val="1"/>
      <w:numFmt w:val="bullet"/>
      <w:lvlText w:val="•"/>
      <w:lvlJc w:val="left"/>
      <w:pPr>
        <w:tabs>
          <w:tab w:val="num" w:pos="720"/>
        </w:tabs>
        <w:ind w:left="720" w:hanging="360"/>
      </w:pPr>
      <w:rPr>
        <w:rFonts w:ascii="Arial" w:hAnsi="Arial" w:hint="default"/>
      </w:rPr>
    </w:lvl>
    <w:lvl w:ilvl="1" w:tplc="3C82A77E" w:tentative="1">
      <w:start w:val="1"/>
      <w:numFmt w:val="bullet"/>
      <w:lvlText w:val="•"/>
      <w:lvlJc w:val="left"/>
      <w:pPr>
        <w:tabs>
          <w:tab w:val="num" w:pos="1440"/>
        </w:tabs>
        <w:ind w:left="1440" w:hanging="360"/>
      </w:pPr>
      <w:rPr>
        <w:rFonts w:ascii="Arial" w:hAnsi="Arial" w:hint="default"/>
      </w:rPr>
    </w:lvl>
    <w:lvl w:ilvl="2" w:tplc="2744C442" w:tentative="1">
      <w:start w:val="1"/>
      <w:numFmt w:val="bullet"/>
      <w:lvlText w:val="•"/>
      <w:lvlJc w:val="left"/>
      <w:pPr>
        <w:tabs>
          <w:tab w:val="num" w:pos="2160"/>
        </w:tabs>
        <w:ind w:left="2160" w:hanging="360"/>
      </w:pPr>
      <w:rPr>
        <w:rFonts w:ascii="Arial" w:hAnsi="Arial" w:hint="default"/>
      </w:rPr>
    </w:lvl>
    <w:lvl w:ilvl="3" w:tplc="C5FABF66" w:tentative="1">
      <w:start w:val="1"/>
      <w:numFmt w:val="bullet"/>
      <w:lvlText w:val="•"/>
      <w:lvlJc w:val="left"/>
      <w:pPr>
        <w:tabs>
          <w:tab w:val="num" w:pos="2880"/>
        </w:tabs>
        <w:ind w:left="2880" w:hanging="360"/>
      </w:pPr>
      <w:rPr>
        <w:rFonts w:ascii="Arial" w:hAnsi="Arial" w:hint="default"/>
      </w:rPr>
    </w:lvl>
    <w:lvl w:ilvl="4" w:tplc="667E5CC4" w:tentative="1">
      <w:start w:val="1"/>
      <w:numFmt w:val="bullet"/>
      <w:lvlText w:val="•"/>
      <w:lvlJc w:val="left"/>
      <w:pPr>
        <w:tabs>
          <w:tab w:val="num" w:pos="3600"/>
        </w:tabs>
        <w:ind w:left="3600" w:hanging="360"/>
      </w:pPr>
      <w:rPr>
        <w:rFonts w:ascii="Arial" w:hAnsi="Arial" w:hint="default"/>
      </w:rPr>
    </w:lvl>
    <w:lvl w:ilvl="5" w:tplc="1D90973A" w:tentative="1">
      <w:start w:val="1"/>
      <w:numFmt w:val="bullet"/>
      <w:lvlText w:val="•"/>
      <w:lvlJc w:val="left"/>
      <w:pPr>
        <w:tabs>
          <w:tab w:val="num" w:pos="4320"/>
        </w:tabs>
        <w:ind w:left="4320" w:hanging="360"/>
      </w:pPr>
      <w:rPr>
        <w:rFonts w:ascii="Arial" w:hAnsi="Arial" w:hint="default"/>
      </w:rPr>
    </w:lvl>
    <w:lvl w:ilvl="6" w:tplc="381AB27E" w:tentative="1">
      <w:start w:val="1"/>
      <w:numFmt w:val="bullet"/>
      <w:lvlText w:val="•"/>
      <w:lvlJc w:val="left"/>
      <w:pPr>
        <w:tabs>
          <w:tab w:val="num" w:pos="5040"/>
        </w:tabs>
        <w:ind w:left="5040" w:hanging="360"/>
      </w:pPr>
      <w:rPr>
        <w:rFonts w:ascii="Arial" w:hAnsi="Arial" w:hint="default"/>
      </w:rPr>
    </w:lvl>
    <w:lvl w:ilvl="7" w:tplc="2F009AB4" w:tentative="1">
      <w:start w:val="1"/>
      <w:numFmt w:val="bullet"/>
      <w:lvlText w:val="•"/>
      <w:lvlJc w:val="left"/>
      <w:pPr>
        <w:tabs>
          <w:tab w:val="num" w:pos="5760"/>
        </w:tabs>
        <w:ind w:left="5760" w:hanging="360"/>
      </w:pPr>
      <w:rPr>
        <w:rFonts w:ascii="Arial" w:hAnsi="Arial" w:hint="default"/>
      </w:rPr>
    </w:lvl>
    <w:lvl w:ilvl="8" w:tplc="6A56E47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BBA0CDA"/>
    <w:multiLevelType w:val="hybridMultilevel"/>
    <w:tmpl w:val="8494B5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C7C29CB"/>
    <w:multiLevelType w:val="hybridMultilevel"/>
    <w:tmpl w:val="281E5C74"/>
    <w:lvl w:ilvl="0" w:tplc="4344F47E">
      <w:start w:val="1"/>
      <w:numFmt w:val="bullet"/>
      <w:lvlText w:val="•"/>
      <w:lvlJc w:val="left"/>
      <w:pPr>
        <w:tabs>
          <w:tab w:val="num" w:pos="720"/>
        </w:tabs>
        <w:ind w:left="720" w:hanging="360"/>
      </w:pPr>
      <w:rPr>
        <w:rFonts w:ascii="Arial" w:hAnsi="Arial" w:hint="default"/>
      </w:rPr>
    </w:lvl>
    <w:lvl w:ilvl="1" w:tplc="1DF22E52" w:tentative="1">
      <w:start w:val="1"/>
      <w:numFmt w:val="bullet"/>
      <w:lvlText w:val="•"/>
      <w:lvlJc w:val="left"/>
      <w:pPr>
        <w:tabs>
          <w:tab w:val="num" w:pos="1440"/>
        </w:tabs>
        <w:ind w:left="1440" w:hanging="360"/>
      </w:pPr>
      <w:rPr>
        <w:rFonts w:ascii="Arial" w:hAnsi="Arial" w:hint="default"/>
      </w:rPr>
    </w:lvl>
    <w:lvl w:ilvl="2" w:tplc="59EE5130" w:tentative="1">
      <w:start w:val="1"/>
      <w:numFmt w:val="bullet"/>
      <w:lvlText w:val="•"/>
      <w:lvlJc w:val="left"/>
      <w:pPr>
        <w:tabs>
          <w:tab w:val="num" w:pos="2160"/>
        </w:tabs>
        <w:ind w:left="2160" w:hanging="360"/>
      </w:pPr>
      <w:rPr>
        <w:rFonts w:ascii="Arial" w:hAnsi="Arial" w:hint="default"/>
      </w:rPr>
    </w:lvl>
    <w:lvl w:ilvl="3" w:tplc="EF62234C" w:tentative="1">
      <w:start w:val="1"/>
      <w:numFmt w:val="bullet"/>
      <w:lvlText w:val="•"/>
      <w:lvlJc w:val="left"/>
      <w:pPr>
        <w:tabs>
          <w:tab w:val="num" w:pos="2880"/>
        </w:tabs>
        <w:ind w:left="2880" w:hanging="360"/>
      </w:pPr>
      <w:rPr>
        <w:rFonts w:ascii="Arial" w:hAnsi="Arial" w:hint="default"/>
      </w:rPr>
    </w:lvl>
    <w:lvl w:ilvl="4" w:tplc="8F9E20C0" w:tentative="1">
      <w:start w:val="1"/>
      <w:numFmt w:val="bullet"/>
      <w:lvlText w:val="•"/>
      <w:lvlJc w:val="left"/>
      <w:pPr>
        <w:tabs>
          <w:tab w:val="num" w:pos="3600"/>
        </w:tabs>
        <w:ind w:left="3600" w:hanging="360"/>
      </w:pPr>
      <w:rPr>
        <w:rFonts w:ascii="Arial" w:hAnsi="Arial" w:hint="default"/>
      </w:rPr>
    </w:lvl>
    <w:lvl w:ilvl="5" w:tplc="E6E45D6C" w:tentative="1">
      <w:start w:val="1"/>
      <w:numFmt w:val="bullet"/>
      <w:lvlText w:val="•"/>
      <w:lvlJc w:val="left"/>
      <w:pPr>
        <w:tabs>
          <w:tab w:val="num" w:pos="4320"/>
        </w:tabs>
        <w:ind w:left="4320" w:hanging="360"/>
      </w:pPr>
      <w:rPr>
        <w:rFonts w:ascii="Arial" w:hAnsi="Arial" w:hint="default"/>
      </w:rPr>
    </w:lvl>
    <w:lvl w:ilvl="6" w:tplc="504287F0" w:tentative="1">
      <w:start w:val="1"/>
      <w:numFmt w:val="bullet"/>
      <w:lvlText w:val="•"/>
      <w:lvlJc w:val="left"/>
      <w:pPr>
        <w:tabs>
          <w:tab w:val="num" w:pos="5040"/>
        </w:tabs>
        <w:ind w:left="5040" w:hanging="360"/>
      </w:pPr>
      <w:rPr>
        <w:rFonts w:ascii="Arial" w:hAnsi="Arial" w:hint="default"/>
      </w:rPr>
    </w:lvl>
    <w:lvl w:ilvl="7" w:tplc="96A0FB8C" w:tentative="1">
      <w:start w:val="1"/>
      <w:numFmt w:val="bullet"/>
      <w:lvlText w:val="•"/>
      <w:lvlJc w:val="left"/>
      <w:pPr>
        <w:tabs>
          <w:tab w:val="num" w:pos="5760"/>
        </w:tabs>
        <w:ind w:left="5760" w:hanging="360"/>
      </w:pPr>
      <w:rPr>
        <w:rFonts w:ascii="Arial" w:hAnsi="Arial" w:hint="default"/>
      </w:rPr>
    </w:lvl>
    <w:lvl w:ilvl="8" w:tplc="BE50BAC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D00742D"/>
    <w:multiLevelType w:val="hybridMultilevel"/>
    <w:tmpl w:val="727425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D437DEB"/>
    <w:multiLevelType w:val="hybridMultilevel"/>
    <w:tmpl w:val="C456CD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1C15749"/>
    <w:multiLevelType w:val="hybridMultilevel"/>
    <w:tmpl w:val="864819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1C86046"/>
    <w:multiLevelType w:val="hybridMultilevel"/>
    <w:tmpl w:val="5C2688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1CD267F"/>
    <w:multiLevelType w:val="hybridMultilevel"/>
    <w:tmpl w:val="303854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38632C6"/>
    <w:multiLevelType w:val="multilevel"/>
    <w:tmpl w:val="48823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2F2A54"/>
    <w:multiLevelType w:val="hybridMultilevel"/>
    <w:tmpl w:val="48F431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DED54BE"/>
    <w:multiLevelType w:val="hybridMultilevel"/>
    <w:tmpl w:val="777E7CB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235243C3"/>
    <w:multiLevelType w:val="hybridMultilevel"/>
    <w:tmpl w:val="C706D22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8C5116A"/>
    <w:multiLevelType w:val="hybridMultilevel"/>
    <w:tmpl w:val="72F23F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10220B5"/>
    <w:multiLevelType w:val="multilevel"/>
    <w:tmpl w:val="CF405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4757C0A"/>
    <w:multiLevelType w:val="hybridMultilevel"/>
    <w:tmpl w:val="CCB854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6D63166"/>
    <w:multiLevelType w:val="multilevel"/>
    <w:tmpl w:val="8174A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9795BAA"/>
    <w:multiLevelType w:val="hybridMultilevel"/>
    <w:tmpl w:val="A6708E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AA323E1"/>
    <w:multiLevelType w:val="hybridMultilevel"/>
    <w:tmpl w:val="4FACDA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C657E4D"/>
    <w:multiLevelType w:val="multilevel"/>
    <w:tmpl w:val="63D08F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D307011"/>
    <w:multiLevelType w:val="hybridMultilevel"/>
    <w:tmpl w:val="A9523F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D7368C6"/>
    <w:multiLevelType w:val="hybridMultilevel"/>
    <w:tmpl w:val="9DFA04B4"/>
    <w:lvl w:ilvl="0" w:tplc="E15898CC">
      <w:start w:val="1"/>
      <w:numFmt w:val="bullet"/>
      <w:lvlText w:val=""/>
      <w:lvlJc w:val="left"/>
      <w:pPr>
        <w:tabs>
          <w:tab w:val="num" w:pos="720"/>
        </w:tabs>
        <w:ind w:left="720" w:hanging="360"/>
      </w:pPr>
      <w:rPr>
        <w:rFonts w:ascii="Wingdings" w:hAnsi="Wingdings" w:hint="default"/>
      </w:rPr>
    </w:lvl>
    <w:lvl w:ilvl="1" w:tplc="57409FAE" w:tentative="1">
      <w:start w:val="1"/>
      <w:numFmt w:val="bullet"/>
      <w:lvlText w:val=""/>
      <w:lvlJc w:val="left"/>
      <w:pPr>
        <w:tabs>
          <w:tab w:val="num" w:pos="1440"/>
        </w:tabs>
        <w:ind w:left="1440" w:hanging="360"/>
      </w:pPr>
      <w:rPr>
        <w:rFonts w:ascii="Wingdings" w:hAnsi="Wingdings" w:hint="default"/>
      </w:rPr>
    </w:lvl>
    <w:lvl w:ilvl="2" w:tplc="70608198" w:tentative="1">
      <w:start w:val="1"/>
      <w:numFmt w:val="bullet"/>
      <w:lvlText w:val=""/>
      <w:lvlJc w:val="left"/>
      <w:pPr>
        <w:tabs>
          <w:tab w:val="num" w:pos="2160"/>
        </w:tabs>
        <w:ind w:left="2160" w:hanging="360"/>
      </w:pPr>
      <w:rPr>
        <w:rFonts w:ascii="Wingdings" w:hAnsi="Wingdings" w:hint="default"/>
      </w:rPr>
    </w:lvl>
    <w:lvl w:ilvl="3" w:tplc="17045762" w:tentative="1">
      <w:start w:val="1"/>
      <w:numFmt w:val="bullet"/>
      <w:lvlText w:val=""/>
      <w:lvlJc w:val="left"/>
      <w:pPr>
        <w:tabs>
          <w:tab w:val="num" w:pos="2880"/>
        </w:tabs>
        <w:ind w:left="2880" w:hanging="360"/>
      </w:pPr>
      <w:rPr>
        <w:rFonts w:ascii="Wingdings" w:hAnsi="Wingdings" w:hint="default"/>
      </w:rPr>
    </w:lvl>
    <w:lvl w:ilvl="4" w:tplc="D4D6B22E" w:tentative="1">
      <w:start w:val="1"/>
      <w:numFmt w:val="bullet"/>
      <w:lvlText w:val=""/>
      <w:lvlJc w:val="left"/>
      <w:pPr>
        <w:tabs>
          <w:tab w:val="num" w:pos="3600"/>
        </w:tabs>
        <w:ind w:left="3600" w:hanging="360"/>
      </w:pPr>
      <w:rPr>
        <w:rFonts w:ascii="Wingdings" w:hAnsi="Wingdings" w:hint="default"/>
      </w:rPr>
    </w:lvl>
    <w:lvl w:ilvl="5" w:tplc="3D08EFA8" w:tentative="1">
      <w:start w:val="1"/>
      <w:numFmt w:val="bullet"/>
      <w:lvlText w:val=""/>
      <w:lvlJc w:val="left"/>
      <w:pPr>
        <w:tabs>
          <w:tab w:val="num" w:pos="4320"/>
        </w:tabs>
        <w:ind w:left="4320" w:hanging="360"/>
      </w:pPr>
      <w:rPr>
        <w:rFonts w:ascii="Wingdings" w:hAnsi="Wingdings" w:hint="default"/>
      </w:rPr>
    </w:lvl>
    <w:lvl w:ilvl="6" w:tplc="8D9AD0DA" w:tentative="1">
      <w:start w:val="1"/>
      <w:numFmt w:val="bullet"/>
      <w:lvlText w:val=""/>
      <w:lvlJc w:val="left"/>
      <w:pPr>
        <w:tabs>
          <w:tab w:val="num" w:pos="5040"/>
        </w:tabs>
        <w:ind w:left="5040" w:hanging="360"/>
      </w:pPr>
      <w:rPr>
        <w:rFonts w:ascii="Wingdings" w:hAnsi="Wingdings" w:hint="default"/>
      </w:rPr>
    </w:lvl>
    <w:lvl w:ilvl="7" w:tplc="ED846DD4" w:tentative="1">
      <w:start w:val="1"/>
      <w:numFmt w:val="bullet"/>
      <w:lvlText w:val=""/>
      <w:lvlJc w:val="left"/>
      <w:pPr>
        <w:tabs>
          <w:tab w:val="num" w:pos="5760"/>
        </w:tabs>
        <w:ind w:left="5760" w:hanging="360"/>
      </w:pPr>
      <w:rPr>
        <w:rFonts w:ascii="Wingdings" w:hAnsi="Wingdings" w:hint="default"/>
      </w:rPr>
    </w:lvl>
    <w:lvl w:ilvl="8" w:tplc="B76C4EB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EB1249E"/>
    <w:multiLevelType w:val="hybridMultilevel"/>
    <w:tmpl w:val="FE5EEF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6D73ED4"/>
    <w:multiLevelType w:val="hybridMultilevel"/>
    <w:tmpl w:val="04301F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A1A5495"/>
    <w:multiLevelType w:val="multilevel"/>
    <w:tmpl w:val="23EED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F0C28B0"/>
    <w:multiLevelType w:val="hybridMultilevel"/>
    <w:tmpl w:val="3DA0A18A"/>
    <w:lvl w:ilvl="0" w:tplc="ABC2B430">
      <w:start w:val="1"/>
      <w:numFmt w:val="bullet"/>
      <w:lvlText w:val=""/>
      <w:lvlJc w:val="left"/>
      <w:pPr>
        <w:tabs>
          <w:tab w:val="num" w:pos="720"/>
        </w:tabs>
        <w:ind w:left="720" w:hanging="360"/>
      </w:pPr>
      <w:rPr>
        <w:rFonts w:ascii="Symbol" w:hAnsi="Symbol" w:hint="default"/>
      </w:rPr>
    </w:lvl>
    <w:lvl w:ilvl="1" w:tplc="47D4DF92">
      <w:start w:val="1"/>
      <w:numFmt w:val="bullet"/>
      <w:lvlText w:val=""/>
      <w:lvlJc w:val="left"/>
      <w:pPr>
        <w:tabs>
          <w:tab w:val="num" w:pos="1440"/>
        </w:tabs>
        <w:ind w:left="1440" w:hanging="360"/>
      </w:pPr>
      <w:rPr>
        <w:rFonts w:ascii="Symbol" w:hAnsi="Symbol" w:hint="default"/>
      </w:rPr>
    </w:lvl>
    <w:lvl w:ilvl="2" w:tplc="618A74C4" w:tentative="1">
      <w:start w:val="1"/>
      <w:numFmt w:val="bullet"/>
      <w:lvlText w:val=""/>
      <w:lvlJc w:val="left"/>
      <w:pPr>
        <w:tabs>
          <w:tab w:val="num" w:pos="2160"/>
        </w:tabs>
        <w:ind w:left="2160" w:hanging="360"/>
      </w:pPr>
      <w:rPr>
        <w:rFonts w:ascii="Symbol" w:hAnsi="Symbol" w:hint="default"/>
      </w:rPr>
    </w:lvl>
    <w:lvl w:ilvl="3" w:tplc="21DA24CE" w:tentative="1">
      <w:start w:val="1"/>
      <w:numFmt w:val="bullet"/>
      <w:lvlText w:val=""/>
      <w:lvlJc w:val="left"/>
      <w:pPr>
        <w:tabs>
          <w:tab w:val="num" w:pos="2880"/>
        </w:tabs>
        <w:ind w:left="2880" w:hanging="360"/>
      </w:pPr>
      <w:rPr>
        <w:rFonts w:ascii="Symbol" w:hAnsi="Symbol" w:hint="default"/>
      </w:rPr>
    </w:lvl>
    <w:lvl w:ilvl="4" w:tplc="46464F30" w:tentative="1">
      <w:start w:val="1"/>
      <w:numFmt w:val="bullet"/>
      <w:lvlText w:val=""/>
      <w:lvlJc w:val="left"/>
      <w:pPr>
        <w:tabs>
          <w:tab w:val="num" w:pos="3600"/>
        </w:tabs>
        <w:ind w:left="3600" w:hanging="360"/>
      </w:pPr>
      <w:rPr>
        <w:rFonts w:ascii="Symbol" w:hAnsi="Symbol" w:hint="default"/>
      </w:rPr>
    </w:lvl>
    <w:lvl w:ilvl="5" w:tplc="5B9E3A04" w:tentative="1">
      <w:start w:val="1"/>
      <w:numFmt w:val="bullet"/>
      <w:lvlText w:val=""/>
      <w:lvlJc w:val="left"/>
      <w:pPr>
        <w:tabs>
          <w:tab w:val="num" w:pos="4320"/>
        </w:tabs>
        <w:ind w:left="4320" w:hanging="360"/>
      </w:pPr>
      <w:rPr>
        <w:rFonts w:ascii="Symbol" w:hAnsi="Symbol" w:hint="default"/>
      </w:rPr>
    </w:lvl>
    <w:lvl w:ilvl="6" w:tplc="0EAC193E" w:tentative="1">
      <w:start w:val="1"/>
      <w:numFmt w:val="bullet"/>
      <w:lvlText w:val=""/>
      <w:lvlJc w:val="left"/>
      <w:pPr>
        <w:tabs>
          <w:tab w:val="num" w:pos="5040"/>
        </w:tabs>
        <w:ind w:left="5040" w:hanging="360"/>
      </w:pPr>
      <w:rPr>
        <w:rFonts w:ascii="Symbol" w:hAnsi="Symbol" w:hint="default"/>
      </w:rPr>
    </w:lvl>
    <w:lvl w:ilvl="7" w:tplc="CC7C26E0" w:tentative="1">
      <w:start w:val="1"/>
      <w:numFmt w:val="bullet"/>
      <w:lvlText w:val=""/>
      <w:lvlJc w:val="left"/>
      <w:pPr>
        <w:tabs>
          <w:tab w:val="num" w:pos="5760"/>
        </w:tabs>
        <w:ind w:left="5760" w:hanging="360"/>
      </w:pPr>
      <w:rPr>
        <w:rFonts w:ascii="Symbol" w:hAnsi="Symbol" w:hint="default"/>
      </w:rPr>
    </w:lvl>
    <w:lvl w:ilvl="8" w:tplc="D7D8F69C" w:tentative="1">
      <w:start w:val="1"/>
      <w:numFmt w:val="bullet"/>
      <w:lvlText w:val=""/>
      <w:lvlJc w:val="left"/>
      <w:pPr>
        <w:tabs>
          <w:tab w:val="num" w:pos="6480"/>
        </w:tabs>
        <w:ind w:left="6480" w:hanging="360"/>
      </w:pPr>
      <w:rPr>
        <w:rFonts w:ascii="Symbol" w:hAnsi="Symbol" w:hint="default"/>
      </w:rPr>
    </w:lvl>
  </w:abstractNum>
  <w:abstractNum w:abstractNumId="26" w15:restartNumberingAfterBreak="0">
    <w:nsid w:val="633705E8"/>
    <w:multiLevelType w:val="hybridMultilevel"/>
    <w:tmpl w:val="1D300262"/>
    <w:lvl w:ilvl="0" w:tplc="FFFFFFFF">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
      <w:lvlJc w:val="left"/>
      <w:pPr>
        <w:tabs>
          <w:tab w:val="num" w:pos="3600"/>
        </w:tabs>
        <w:ind w:left="3600" w:hanging="360"/>
      </w:pPr>
      <w:rPr>
        <w:rFonts w:ascii="Symbol" w:hAnsi="Symbol" w:hint="default"/>
      </w:rPr>
    </w:lvl>
    <w:lvl w:ilvl="5" w:tplc="FFFFFFFF" w:tentative="1">
      <w:start w:val="1"/>
      <w:numFmt w:val="bullet"/>
      <w:lvlText w:val=""/>
      <w:lvlJc w:val="left"/>
      <w:pPr>
        <w:tabs>
          <w:tab w:val="num" w:pos="4320"/>
        </w:tabs>
        <w:ind w:left="4320" w:hanging="360"/>
      </w:pPr>
      <w:rPr>
        <w:rFonts w:ascii="Symbol" w:hAnsi="Symbol"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
      <w:lvlJc w:val="left"/>
      <w:pPr>
        <w:tabs>
          <w:tab w:val="num" w:pos="5760"/>
        </w:tabs>
        <w:ind w:left="5760" w:hanging="360"/>
      </w:pPr>
      <w:rPr>
        <w:rFonts w:ascii="Symbol" w:hAnsi="Symbol" w:hint="default"/>
      </w:rPr>
    </w:lvl>
    <w:lvl w:ilvl="8" w:tplc="FFFFFFFF" w:tentative="1">
      <w:start w:val="1"/>
      <w:numFmt w:val="bullet"/>
      <w:lvlText w:val=""/>
      <w:lvlJc w:val="left"/>
      <w:pPr>
        <w:tabs>
          <w:tab w:val="num" w:pos="6480"/>
        </w:tabs>
        <w:ind w:left="6480" w:hanging="360"/>
      </w:pPr>
      <w:rPr>
        <w:rFonts w:ascii="Symbol" w:hAnsi="Symbol" w:hint="default"/>
      </w:rPr>
    </w:lvl>
  </w:abstractNum>
  <w:abstractNum w:abstractNumId="27" w15:restartNumberingAfterBreak="0">
    <w:nsid w:val="6ED948AA"/>
    <w:multiLevelType w:val="hybridMultilevel"/>
    <w:tmpl w:val="BDD648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FCF2B6F"/>
    <w:multiLevelType w:val="multilevel"/>
    <w:tmpl w:val="EEEC9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EB0675F"/>
    <w:multiLevelType w:val="hybridMultilevel"/>
    <w:tmpl w:val="0DCE1D3E"/>
    <w:lvl w:ilvl="0" w:tplc="0C090001">
      <w:start w:val="1"/>
      <w:numFmt w:val="bullet"/>
      <w:lvlText w:val=""/>
      <w:lvlJc w:val="left"/>
      <w:pPr>
        <w:ind w:left="771" w:hanging="360"/>
      </w:pPr>
      <w:rPr>
        <w:rFonts w:ascii="Symbol" w:hAnsi="Symbol" w:hint="default"/>
      </w:rPr>
    </w:lvl>
    <w:lvl w:ilvl="1" w:tplc="0C090003" w:tentative="1">
      <w:start w:val="1"/>
      <w:numFmt w:val="bullet"/>
      <w:lvlText w:val="o"/>
      <w:lvlJc w:val="left"/>
      <w:pPr>
        <w:ind w:left="1491" w:hanging="360"/>
      </w:pPr>
      <w:rPr>
        <w:rFonts w:ascii="Courier New" w:hAnsi="Courier New" w:cs="Courier New" w:hint="default"/>
      </w:rPr>
    </w:lvl>
    <w:lvl w:ilvl="2" w:tplc="0C090005" w:tentative="1">
      <w:start w:val="1"/>
      <w:numFmt w:val="bullet"/>
      <w:lvlText w:val=""/>
      <w:lvlJc w:val="left"/>
      <w:pPr>
        <w:ind w:left="2211" w:hanging="360"/>
      </w:pPr>
      <w:rPr>
        <w:rFonts w:ascii="Wingdings" w:hAnsi="Wingdings" w:hint="default"/>
      </w:rPr>
    </w:lvl>
    <w:lvl w:ilvl="3" w:tplc="0C090001" w:tentative="1">
      <w:start w:val="1"/>
      <w:numFmt w:val="bullet"/>
      <w:lvlText w:val=""/>
      <w:lvlJc w:val="left"/>
      <w:pPr>
        <w:ind w:left="2931" w:hanging="360"/>
      </w:pPr>
      <w:rPr>
        <w:rFonts w:ascii="Symbol" w:hAnsi="Symbol" w:hint="default"/>
      </w:rPr>
    </w:lvl>
    <w:lvl w:ilvl="4" w:tplc="0C090003" w:tentative="1">
      <w:start w:val="1"/>
      <w:numFmt w:val="bullet"/>
      <w:lvlText w:val="o"/>
      <w:lvlJc w:val="left"/>
      <w:pPr>
        <w:ind w:left="3651" w:hanging="360"/>
      </w:pPr>
      <w:rPr>
        <w:rFonts w:ascii="Courier New" w:hAnsi="Courier New" w:cs="Courier New" w:hint="default"/>
      </w:rPr>
    </w:lvl>
    <w:lvl w:ilvl="5" w:tplc="0C090005" w:tentative="1">
      <w:start w:val="1"/>
      <w:numFmt w:val="bullet"/>
      <w:lvlText w:val=""/>
      <w:lvlJc w:val="left"/>
      <w:pPr>
        <w:ind w:left="4371" w:hanging="360"/>
      </w:pPr>
      <w:rPr>
        <w:rFonts w:ascii="Wingdings" w:hAnsi="Wingdings" w:hint="default"/>
      </w:rPr>
    </w:lvl>
    <w:lvl w:ilvl="6" w:tplc="0C090001" w:tentative="1">
      <w:start w:val="1"/>
      <w:numFmt w:val="bullet"/>
      <w:lvlText w:val=""/>
      <w:lvlJc w:val="left"/>
      <w:pPr>
        <w:ind w:left="5091" w:hanging="360"/>
      </w:pPr>
      <w:rPr>
        <w:rFonts w:ascii="Symbol" w:hAnsi="Symbol" w:hint="default"/>
      </w:rPr>
    </w:lvl>
    <w:lvl w:ilvl="7" w:tplc="0C090003" w:tentative="1">
      <w:start w:val="1"/>
      <w:numFmt w:val="bullet"/>
      <w:lvlText w:val="o"/>
      <w:lvlJc w:val="left"/>
      <w:pPr>
        <w:ind w:left="5811" w:hanging="360"/>
      </w:pPr>
      <w:rPr>
        <w:rFonts w:ascii="Courier New" w:hAnsi="Courier New" w:cs="Courier New" w:hint="default"/>
      </w:rPr>
    </w:lvl>
    <w:lvl w:ilvl="8" w:tplc="0C090005" w:tentative="1">
      <w:start w:val="1"/>
      <w:numFmt w:val="bullet"/>
      <w:lvlText w:val=""/>
      <w:lvlJc w:val="left"/>
      <w:pPr>
        <w:ind w:left="6531" w:hanging="360"/>
      </w:pPr>
      <w:rPr>
        <w:rFonts w:ascii="Wingdings" w:hAnsi="Wingdings" w:hint="default"/>
      </w:rPr>
    </w:lvl>
  </w:abstractNum>
  <w:num w:numId="1" w16cid:durableId="1719209522">
    <w:abstractNumId w:val="12"/>
  </w:num>
  <w:num w:numId="2" w16cid:durableId="623582821">
    <w:abstractNumId w:val="22"/>
  </w:num>
  <w:num w:numId="3" w16cid:durableId="606890684">
    <w:abstractNumId w:val="7"/>
  </w:num>
  <w:num w:numId="4" w16cid:durableId="1855149152">
    <w:abstractNumId w:val="23"/>
  </w:num>
  <w:num w:numId="5" w16cid:durableId="1431268721">
    <w:abstractNumId w:val="10"/>
  </w:num>
  <w:num w:numId="6" w16cid:durableId="693771309">
    <w:abstractNumId w:val="13"/>
  </w:num>
  <w:num w:numId="7" w16cid:durableId="1008367638">
    <w:abstractNumId w:val="2"/>
  </w:num>
  <w:num w:numId="8" w16cid:durableId="1944070083">
    <w:abstractNumId w:val="18"/>
  </w:num>
  <w:num w:numId="9" w16cid:durableId="354036095">
    <w:abstractNumId w:val="8"/>
  </w:num>
  <w:num w:numId="10" w16cid:durableId="1457481713">
    <w:abstractNumId w:val="27"/>
  </w:num>
  <w:num w:numId="11" w16cid:durableId="1569878682">
    <w:abstractNumId w:val="15"/>
  </w:num>
  <w:num w:numId="12" w16cid:durableId="826819654">
    <w:abstractNumId w:val="21"/>
  </w:num>
  <w:num w:numId="13" w16cid:durableId="1274703627">
    <w:abstractNumId w:val="11"/>
  </w:num>
  <w:num w:numId="14" w16cid:durableId="938220830">
    <w:abstractNumId w:val="0"/>
  </w:num>
  <w:num w:numId="15" w16cid:durableId="628896523">
    <w:abstractNumId w:val="17"/>
  </w:num>
  <w:num w:numId="16" w16cid:durableId="597786524">
    <w:abstractNumId w:val="3"/>
  </w:num>
  <w:num w:numId="17" w16cid:durableId="2024357599">
    <w:abstractNumId w:val="1"/>
  </w:num>
  <w:num w:numId="18" w16cid:durableId="1075012434">
    <w:abstractNumId w:val="29"/>
  </w:num>
  <w:num w:numId="19" w16cid:durableId="512426000">
    <w:abstractNumId w:val="5"/>
  </w:num>
  <w:num w:numId="20" w16cid:durableId="2122457423">
    <w:abstractNumId w:val="4"/>
  </w:num>
  <w:num w:numId="21" w16cid:durableId="551383718">
    <w:abstractNumId w:val="6"/>
  </w:num>
  <w:num w:numId="22" w16cid:durableId="587693473">
    <w:abstractNumId w:val="25"/>
  </w:num>
  <w:num w:numId="23" w16cid:durableId="1073356625">
    <w:abstractNumId w:val="26"/>
  </w:num>
  <w:num w:numId="24" w16cid:durableId="1403992133">
    <w:abstractNumId w:val="16"/>
  </w:num>
  <w:num w:numId="25" w16cid:durableId="80875700">
    <w:abstractNumId w:val="28"/>
  </w:num>
  <w:num w:numId="26" w16cid:durableId="436605520">
    <w:abstractNumId w:val="19"/>
  </w:num>
  <w:num w:numId="27" w16cid:durableId="1620838502">
    <w:abstractNumId w:val="14"/>
  </w:num>
  <w:num w:numId="28" w16cid:durableId="60687169">
    <w:abstractNumId w:val="24"/>
  </w:num>
  <w:num w:numId="29" w16cid:durableId="1829050721">
    <w:abstractNumId w:val="20"/>
  </w:num>
  <w:num w:numId="30" w16cid:durableId="19678115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4E66"/>
    <w:rsid w:val="00000B93"/>
    <w:rsid w:val="00000CB8"/>
    <w:rsid w:val="00002931"/>
    <w:rsid w:val="00004E07"/>
    <w:rsid w:val="00005CEF"/>
    <w:rsid w:val="00005D30"/>
    <w:rsid w:val="00006CBE"/>
    <w:rsid w:val="000079C5"/>
    <w:rsid w:val="00011475"/>
    <w:rsid w:val="000121FD"/>
    <w:rsid w:val="00012CED"/>
    <w:rsid w:val="0001606A"/>
    <w:rsid w:val="000160DA"/>
    <w:rsid w:val="00016FD0"/>
    <w:rsid w:val="00017C85"/>
    <w:rsid w:val="00020183"/>
    <w:rsid w:val="00021C9A"/>
    <w:rsid w:val="00023463"/>
    <w:rsid w:val="000318AF"/>
    <w:rsid w:val="000337E4"/>
    <w:rsid w:val="0004039C"/>
    <w:rsid w:val="00040AD7"/>
    <w:rsid w:val="000434F0"/>
    <w:rsid w:val="00043586"/>
    <w:rsid w:val="00043599"/>
    <w:rsid w:val="000444D2"/>
    <w:rsid w:val="0004799A"/>
    <w:rsid w:val="00053A03"/>
    <w:rsid w:val="00053E89"/>
    <w:rsid w:val="00055181"/>
    <w:rsid w:val="00064CE6"/>
    <w:rsid w:val="00066743"/>
    <w:rsid w:val="00075C1C"/>
    <w:rsid w:val="000841F6"/>
    <w:rsid w:val="000866ED"/>
    <w:rsid w:val="00092798"/>
    <w:rsid w:val="000A07CA"/>
    <w:rsid w:val="000B5CF4"/>
    <w:rsid w:val="000B6821"/>
    <w:rsid w:val="000C3231"/>
    <w:rsid w:val="000C6A41"/>
    <w:rsid w:val="000C6CF6"/>
    <w:rsid w:val="000C7BA9"/>
    <w:rsid w:val="000D4636"/>
    <w:rsid w:val="000D54B1"/>
    <w:rsid w:val="000D5F08"/>
    <w:rsid w:val="000E2870"/>
    <w:rsid w:val="000E4242"/>
    <w:rsid w:val="000E68FA"/>
    <w:rsid w:val="000F3BA1"/>
    <w:rsid w:val="000F61F6"/>
    <w:rsid w:val="000F7662"/>
    <w:rsid w:val="000F7EEA"/>
    <w:rsid w:val="00100805"/>
    <w:rsid w:val="001008B2"/>
    <w:rsid w:val="00105919"/>
    <w:rsid w:val="00105E4D"/>
    <w:rsid w:val="00106C03"/>
    <w:rsid w:val="0011178F"/>
    <w:rsid w:val="00111F6C"/>
    <w:rsid w:val="001127DF"/>
    <w:rsid w:val="00115A05"/>
    <w:rsid w:val="001161E2"/>
    <w:rsid w:val="00117FB6"/>
    <w:rsid w:val="00120E9E"/>
    <w:rsid w:val="001221EE"/>
    <w:rsid w:val="00126149"/>
    <w:rsid w:val="001262BD"/>
    <w:rsid w:val="00126C5F"/>
    <w:rsid w:val="0012745B"/>
    <w:rsid w:val="0013171F"/>
    <w:rsid w:val="00132263"/>
    <w:rsid w:val="00132A17"/>
    <w:rsid w:val="0013621C"/>
    <w:rsid w:val="00136D41"/>
    <w:rsid w:val="00137272"/>
    <w:rsid w:val="00141F97"/>
    <w:rsid w:val="001462FA"/>
    <w:rsid w:val="00146B56"/>
    <w:rsid w:val="00146E02"/>
    <w:rsid w:val="001609A2"/>
    <w:rsid w:val="00162397"/>
    <w:rsid w:val="001650C9"/>
    <w:rsid w:val="00166E71"/>
    <w:rsid w:val="00167EC7"/>
    <w:rsid w:val="00170C99"/>
    <w:rsid w:val="0017337D"/>
    <w:rsid w:val="00174699"/>
    <w:rsid w:val="001752C1"/>
    <w:rsid w:val="001836B3"/>
    <w:rsid w:val="00183814"/>
    <w:rsid w:val="001847FE"/>
    <w:rsid w:val="001848E6"/>
    <w:rsid w:val="0018519C"/>
    <w:rsid w:val="001865A9"/>
    <w:rsid w:val="00192DFF"/>
    <w:rsid w:val="00193267"/>
    <w:rsid w:val="00193676"/>
    <w:rsid w:val="0019750F"/>
    <w:rsid w:val="001A2653"/>
    <w:rsid w:val="001A2C5B"/>
    <w:rsid w:val="001A3FC6"/>
    <w:rsid w:val="001A4BA6"/>
    <w:rsid w:val="001A4FDD"/>
    <w:rsid w:val="001B1A32"/>
    <w:rsid w:val="001B3EED"/>
    <w:rsid w:val="001B506A"/>
    <w:rsid w:val="001B5226"/>
    <w:rsid w:val="001C175B"/>
    <w:rsid w:val="001C2A4C"/>
    <w:rsid w:val="001C2E69"/>
    <w:rsid w:val="001C356E"/>
    <w:rsid w:val="001C5564"/>
    <w:rsid w:val="001C603D"/>
    <w:rsid w:val="001C6312"/>
    <w:rsid w:val="001C75A8"/>
    <w:rsid w:val="001C761C"/>
    <w:rsid w:val="001D5405"/>
    <w:rsid w:val="001D5BC8"/>
    <w:rsid w:val="001D6D72"/>
    <w:rsid w:val="001E3C94"/>
    <w:rsid w:val="001F0460"/>
    <w:rsid w:val="001F2C27"/>
    <w:rsid w:val="001F5F43"/>
    <w:rsid w:val="001F710F"/>
    <w:rsid w:val="001F78E4"/>
    <w:rsid w:val="002018F4"/>
    <w:rsid w:val="00204D5B"/>
    <w:rsid w:val="00204E8D"/>
    <w:rsid w:val="00210C80"/>
    <w:rsid w:val="00217E3C"/>
    <w:rsid w:val="00220CD5"/>
    <w:rsid w:val="00222192"/>
    <w:rsid w:val="00232677"/>
    <w:rsid w:val="00233045"/>
    <w:rsid w:val="0023312D"/>
    <w:rsid w:val="0023337D"/>
    <w:rsid w:val="00233705"/>
    <w:rsid w:val="002362B0"/>
    <w:rsid w:val="002424D5"/>
    <w:rsid w:val="00242BEE"/>
    <w:rsid w:val="00243DB5"/>
    <w:rsid w:val="00245463"/>
    <w:rsid w:val="00247F43"/>
    <w:rsid w:val="00251CE3"/>
    <w:rsid w:val="00252D54"/>
    <w:rsid w:val="00254E42"/>
    <w:rsid w:val="00256B0A"/>
    <w:rsid w:val="002576CB"/>
    <w:rsid w:val="00260DE5"/>
    <w:rsid w:val="002630C6"/>
    <w:rsid w:val="00264E04"/>
    <w:rsid w:val="00264EA1"/>
    <w:rsid w:val="00266085"/>
    <w:rsid w:val="00270332"/>
    <w:rsid w:val="002708F7"/>
    <w:rsid w:val="002731EE"/>
    <w:rsid w:val="00280285"/>
    <w:rsid w:val="002803F9"/>
    <w:rsid w:val="002915D4"/>
    <w:rsid w:val="002917C7"/>
    <w:rsid w:val="00292156"/>
    <w:rsid w:val="002931C7"/>
    <w:rsid w:val="002942B5"/>
    <w:rsid w:val="002A1996"/>
    <w:rsid w:val="002A1B26"/>
    <w:rsid w:val="002B2FFE"/>
    <w:rsid w:val="002B3B09"/>
    <w:rsid w:val="002B3B0A"/>
    <w:rsid w:val="002B6334"/>
    <w:rsid w:val="002B67FA"/>
    <w:rsid w:val="002B7D50"/>
    <w:rsid w:val="002C11F3"/>
    <w:rsid w:val="002C121C"/>
    <w:rsid w:val="002C2E8A"/>
    <w:rsid w:val="002D0144"/>
    <w:rsid w:val="002D04BF"/>
    <w:rsid w:val="002D292F"/>
    <w:rsid w:val="002D5FA0"/>
    <w:rsid w:val="002D70F7"/>
    <w:rsid w:val="002D7C06"/>
    <w:rsid w:val="002E0373"/>
    <w:rsid w:val="002E1161"/>
    <w:rsid w:val="002E2C23"/>
    <w:rsid w:val="002E73AE"/>
    <w:rsid w:val="002F02A5"/>
    <w:rsid w:val="002F2A23"/>
    <w:rsid w:val="002F2D9D"/>
    <w:rsid w:val="002F3A95"/>
    <w:rsid w:val="003012CB"/>
    <w:rsid w:val="00304AEF"/>
    <w:rsid w:val="00305476"/>
    <w:rsid w:val="00305CF9"/>
    <w:rsid w:val="0030655C"/>
    <w:rsid w:val="0031346F"/>
    <w:rsid w:val="003135F0"/>
    <w:rsid w:val="003166DA"/>
    <w:rsid w:val="003211C5"/>
    <w:rsid w:val="00322234"/>
    <w:rsid w:val="003233C9"/>
    <w:rsid w:val="00331B49"/>
    <w:rsid w:val="0033269E"/>
    <w:rsid w:val="00332BC9"/>
    <w:rsid w:val="00333046"/>
    <w:rsid w:val="003371F2"/>
    <w:rsid w:val="0034018B"/>
    <w:rsid w:val="00340C89"/>
    <w:rsid w:val="00341EC6"/>
    <w:rsid w:val="003428B2"/>
    <w:rsid w:val="00345467"/>
    <w:rsid w:val="00354FF7"/>
    <w:rsid w:val="00357647"/>
    <w:rsid w:val="003605E9"/>
    <w:rsid w:val="00361167"/>
    <w:rsid w:val="003615D1"/>
    <w:rsid w:val="0036394C"/>
    <w:rsid w:val="003658E2"/>
    <w:rsid w:val="0037030C"/>
    <w:rsid w:val="0037709C"/>
    <w:rsid w:val="00377129"/>
    <w:rsid w:val="00377BFD"/>
    <w:rsid w:val="00381C81"/>
    <w:rsid w:val="00383A5A"/>
    <w:rsid w:val="00383B59"/>
    <w:rsid w:val="003854B7"/>
    <w:rsid w:val="00385DFC"/>
    <w:rsid w:val="00392FFF"/>
    <w:rsid w:val="0039390F"/>
    <w:rsid w:val="00395B3D"/>
    <w:rsid w:val="00395B7A"/>
    <w:rsid w:val="003A059F"/>
    <w:rsid w:val="003C1E2E"/>
    <w:rsid w:val="003C1FFE"/>
    <w:rsid w:val="003D06DE"/>
    <w:rsid w:val="003D0C44"/>
    <w:rsid w:val="003D1C1D"/>
    <w:rsid w:val="003D2142"/>
    <w:rsid w:val="003D28EC"/>
    <w:rsid w:val="003D2B12"/>
    <w:rsid w:val="003D4EBD"/>
    <w:rsid w:val="003E1AA8"/>
    <w:rsid w:val="003E1DB5"/>
    <w:rsid w:val="003E41AA"/>
    <w:rsid w:val="003E4C6A"/>
    <w:rsid w:val="003E5203"/>
    <w:rsid w:val="003E6278"/>
    <w:rsid w:val="003E7571"/>
    <w:rsid w:val="003F0849"/>
    <w:rsid w:val="003F311D"/>
    <w:rsid w:val="003F6EF4"/>
    <w:rsid w:val="0040228C"/>
    <w:rsid w:val="00402CBD"/>
    <w:rsid w:val="0040404E"/>
    <w:rsid w:val="00404830"/>
    <w:rsid w:val="004065BD"/>
    <w:rsid w:val="00407DE3"/>
    <w:rsid w:val="00415838"/>
    <w:rsid w:val="00422D74"/>
    <w:rsid w:val="00424AB3"/>
    <w:rsid w:val="00426163"/>
    <w:rsid w:val="00430FDF"/>
    <w:rsid w:val="00435194"/>
    <w:rsid w:val="004353D2"/>
    <w:rsid w:val="00435640"/>
    <w:rsid w:val="00441490"/>
    <w:rsid w:val="00441F52"/>
    <w:rsid w:val="0044349F"/>
    <w:rsid w:val="00447957"/>
    <w:rsid w:val="00452E5F"/>
    <w:rsid w:val="00456AE0"/>
    <w:rsid w:val="004601EB"/>
    <w:rsid w:val="00463A9E"/>
    <w:rsid w:val="0046441E"/>
    <w:rsid w:val="004655C2"/>
    <w:rsid w:val="00466903"/>
    <w:rsid w:val="00471686"/>
    <w:rsid w:val="00472115"/>
    <w:rsid w:val="00472AC1"/>
    <w:rsid w:val="00475A1A"/>
    <w:rsid w:val="00480EE8"/>
    <w:rsid w:val="0048172E"/>
    <w:rsid w:val="00485548"/>
    <w:rsid w:val="004857B4"/>
    <w:rsid w:val="00485E1F"/>
    <w:rsid w:val="00490262"/>
    <w:rsid w:val="00490D7B"/>
    <w:rsid w:val="00492A08"/>
    <w:rsid w:val="00492A5A"/>
    <w:rsid w:val="00493BA9"/>
    <w:rsid w:val="00496C1C"/>
    <w:rsid w:val="0049771E"/>
    <w:rsid w:val="004A17A4"/>
    <w:rsid w:val="004A3D66"/>
    <w:rsid w:val="004A3DDC"/>
    <w:rsid w:val="004A4D22"/>
    <w:rsid w:val="004A4ED7"/>
    <w:rsid w:val="004A7503"/>
    <w:rsid w:val="004B0B54"/>
    <w:rsid w:val="004B3E68"/>
    <w:rsid w:val="004B3F74"/>
    <w:rsid w:val="004C204A"/>
    <w:rsid w:val="004C380C"/>
    <w:rsid w:val="004C6E4A"/>
    <w:rsid w:val="004D024B"/>
    <w:rsid w:val="004D1E25"/>
    <w:rsid w:val="004D34D1"/>
    <w:rsid w:val="004D3B25"/>
    <w:rsid w:val="004D4E73"/>
    <w:rsid w:val="004D54E2"/>
    <w:rsid w:val="004D6D13"/>
    <w:rsid w:val="004E4AC9"/>
    <w:rsid w:val="004E5913"/>
    <w:rsid w:val="004F06DD"/>
    <w:rsid w:val="004F43B8"/>
    <w:rsid w:val="004F7187"/>
    <w:rsid w:val="0050147D"/>
    <w:rsid w:val="00503633"/>
    <w:rsid w:val="00503801"/>
    <w:rsid w:val="00512701"/>
    <w:rsid w:val="005146F8"/>
    <w:rsid w:val="00517DFC"/>
    <w:rsid w:val="00523C6F"/>
    <w:rsid w:val="00524366"/>
    <w:rsid w:val="0052619A"/>
    <w:rsid w:val="005268CD"/>
    <w:rsid w:val="005306A6"/>
    <w:rsid w:val="00530730"/>
    <w:rsid w:val="00531372"/>
    <w:rsid w:val="00533777"/>
    <w:rsid w:val="005343AD"/>
    <w:rsid w:val="0054065E"/>
    <w:rsid w:val="00542459"/>
    <w:rsid w:val="00542B2F"/>
    <w:rsid w:val="00543215"/>
    <w:rsid w:val="00544BDA"/>
    <w:rsid w:val="0054510B"/>
    <w:rsid w:val="00546897"/>
    <w:rsid w:val="00547828"/>
    <w:rsid w:val="00550C37"/>
    <w:rsid w:val="00551F84"/>
    <w:rsid w:val="005539FF"/>
    <w:rsid w:val="00553F34"/>
    <w:rsid w:val="00557D21"/>
    <w:rsid w:val="005610B5"/>
    <w:rsid w:val="0056214D"/>
    <w:rsid w:val="00563415"/>
    <w:rsid w:val="00563BFF"/>
    <w:rsid w:val="00565391"/>
    <w:rsid w:val="00570634"/>
    <w:rsid w:val="00571DAA"/>
    <w:rsid w:val="00572110"/>
    <w:rsid w:val="00572D82"/>
    <w:rsid w:val="00572D9A"/>
    <w:rsid w:val="00572E66"/>
    <w:rsid w:val="005735D7"/>
    <w:rsid w:val="00573AD5"/>
    <w:rsid w:val="00582A75"/>
    <w:rsid w:val="00582AFD"/>
    <w:rsid w:val="00592A39"/>
    <w:rsid w:val="00592E9A"/>
    <w:rsid w:val="00593F47"/>
    <w:rsid w:val="00595B55"/>
    <w:rsid w:val="005968E5"/>
    <w:rsid w:val="005A1CB1"/>
    <w:rsid w:val="005A2556"/>
    <w:rsid w:val="005A26AE"/>
    <w:rsid w:val="005A3B44"/>
    <w:rsid w:val="005B0A8B"/>
    <w:rsid w:val="005B2688"/>
    <w:rsid w:val="005B3B95"/>
    <w:rsid w:val="005B3E6F"/>
    <w:rsid w:val="005B443E"/>
    <w:rsid w:val="005C3680"/>
    <w:rsid w:val="005C74A5"/>
    <w:rsid w:val="005D2743"/>
    <w:rsid w:val="005D29C1"/>
    <w:rsid w:val="005D49EA"/>
    <w:rsid w:val="005D63E8"/>
    <w:rsid w:val="005E233D"/>
    <w:rsid w:val="005E291D"/>
    <w:rsid w:val="005E3A05"/>
    <w:rsid w:val="005E68BF"/>
    <w:rsid w:val="005E76FE"/>
    <w:rsid w:val="005F13AB"/>
    <w:rsid w:val="00600225"/>
    <w:rsid w:val="0060081F"/>
    <w:rsid w:val="00610998"/>
    <w:rsid w:val="00612607"/>
    <w:rsid w:val="00613A05"/>
    <w:rsid w:val="00613E49"/>
    <w:rsid w:val="006144CB"/>
    <w:rsid w:val="0061484C"/>
    <w:rsid w:val="00615486"/>
    <w:rsid w:val="00615D1A"/>
    <w:rsid w:val="00624E03"/>
    <w:rsid w:val="00627284"/>
    <w:rsid w:val="00630ACF"/>
    <w:rsid w:val="00634829"/>
    <w:rsid w:val="00635AF6"/>
    <w:rsid w:val="006377CC"/>
    <w:rsid w:val="0064238F"/>
    <w:rsid w:val="0065077A"/>
    <w:rsid w:val="0065149F"/>
    <w:rsid w:val="00652617"/>
    <w:rsid w:val="006630A5"/>
    <w:rsid w:val="00664FE0"/>
    <w:rsid w:val="0066619C"/>
    <w:rsid w:val="00667B81"/>
    <w:rsid w:val="00673122"/>
    <w:rsid w:val="006741A7"/>
    <w:rsid w:val="006744F2"/>
    <w:rsid w:val="00674CAA"/>
    <w:rsid w:val="00675268"/>
    <w:rsid w:val="00682D3F"/>
    <w:rsid w:val="00683061"/>
    <w:rsid w:val="006835EF"/>
    <w:rsid w:val="00683E36"/>
    <w:rsid w:val="0068509F"/>
    <w:rsid w:val="0069307B"/>
    <w:rsid w:val="006A1BF3"/>
    <w:rsid w:val="006A3AC0"/>
    <w:rsid w:val="006A79BE"/>
    <w:rsid w:val="006A7D4E"/>
    <w:rsid w:val="006B1492"/>
    <w:rsid w:val="006B4B10"/>
    <w:rsid w:val="006B4B40"/>
    <w:rsid w:val="006C11F8"/>
    <w:rsid w:val="006C495B"/>
    <w:rsid w:val="006C56C3"/>
    <w:rsid w:val="006E22A0"/>
    <w:rsid w:val="006E356F"/>
    <w:rsid w:val="006F2E3C"/>
    <w:rsid w:val="006F3BF1"/>
    <w:rsid w:val="006F3F2D"/>
    <w:rsid w:val="007022F2"/>
    <w:rsid w:val="00703E2B"/>
    <w:rsid w:val="00703F03"/>
    <w:rsid w:val="007073B5"/>
    <w:rsid w:val="00707F2A"/>
    <w:rsid w:val="00711E3F"/>
    <w:rsid w:val="0071474B"/>
    <w:rsid w:val="007147DE"/>
    <w:rsid w:val="00714AA9"/>
    <w:rsid w:val="00717EE9"/>
    <w:rsid w:val="00723F36"/>
    <w:rsid w:val="00725B11"/>
    <w:rsid w:val="00726081"/>
    <w:rsid w:val="007326EC"/>
    <w:rsid w:val="00735921"/>
    <w:rsid w:val="00743B0E"/>
    <w:rsid w:val="00744217"/>
    <w:rsid w:val="00746F8B"/>
    <w:rsid w:val="007506A5"/>
    <w:rsid w:val="007555D5"/>
    <w:rsid w:val="00760E88"/>
    <w:rsid w:val="0076199A"/>
    <w:rsid w:val="0076630C"/>
    <w:rsid w:val="00766BF6"/>
    <w:rsid w:val="00770087"/>
    <w:rsid w:val="007746F0"/>
    <w:rsid w:val="007756EA"/>
    <w:rsid w:val="007778B7"/>
    <w:rsid w:val="007802A0"/>
    <w:rsid w:val="00780353"/>
    <w:rsid w:val="00780373"/>
    <w:rsid w:val="00780CCB"/>
    <w:rsid w:val="00781E8A"/>
    <w:rsid w:val="007822BD"/>
    <w:rsid w:val="00783327"/>
    <w:rsid w:val="007858E9"/>
    <w:rsid w:val="00786382"/>
    <w:rsid w:val="00787411"/>
    <w:rsid w:val="00792A4E"/>
    <w:rsid w:val="00793355"/>
    <w:rsid w:val="007A2407"/>
    <w:rsid w:val="007A335F"/>
    <w:rsid w:val="007A3658"/>
    <w:rsid w:val="007A4B05"/>
    <w:rsid w:val="007B146D"/>
    <w:rsid w:val="007B18E6"/>
    <w:rsid w:val="007B3859"/>
    <w:rsid w:val="007B7947"/>
    <w:rsid w:val="007B7C3B"/>
    <w:rsid w:val="007C16E0"/>
    <w:rsid w:val="007C1E5C"/>
    <w:rsid w:val="007C28B7"/>
    <w:rsid w:val="007C2A9D"/>
    <w:rsid w:val="007C583F"/>
    <w:rsid w:val="007D0A1E"/>
    <w:rsid w:val="007D558A"/>
    <w:rsid w:val="007E3A2E"/>
    <w:rsid w:val="007E4E43"/>
    <w:rsid w:val="007E6A03"/>
    <w:rsid w:val="007F3BC6"/>
    <w:rsid w:val="007F6B17"/>
    <w:rsid w:val="007F7AD1"/>
    <w:rsid w:val="00804E5E"/>
    <w:rsid w:val="008054B5"/>
    <w:rsid w:val="00805C21"/>
    <w:rsid w:val="0080660D"/>
    <w:rsid w:val="0080743A"/>
    <w:rsid w:val="00807C08"/>
    <w:rsid w:val="00807C96"/>
    <w:rsid w:val="008100F7"/>
    <w:rsid w:val="008103EE"/>
    <w:rsid w:val="008127FB"/>
    <w:rsid w:val="0081550C"/>
    <w:rsid w:val="00815982"/>
    <w:rsid w:val="00815E52"/>
    <w:rsid w:val="008169FC"/>
    <w:rsid w:val="00817058"/>
    <w:rsid w:val="00826C7D"/>
    <w:rsid w:val="00831FAF"/>
    <w:rsid w:val="00832555"/>
    <w:rsid w:val="00833E1E"/>
    <w:rsid w:val="008407E5"/>
    <w:rsid w:val="00844266"/>
    <w:rsid w:val="0084561A"/>
    <w:rsid w:val="00845C03"/>
    <w:rsid w:val="00846119"/>
    <w:rsid w:val="00846627"/>
    <w:rsid w:val="00847110"/>
    <w:rsid w:val="0085160D"/>
    <w:rsid w:val="00851C8F"/>
    <w:rsid w:val="008565E1"/>
    <w:rsid w:val="0086354A"/>
    <w:rsid w:val="00863ABB"/>
    <w:rsid w:val="0086668D"/>
    <w:rsid w:val="00871C40"/>
    <w:rsid w:val="008732FD"/>
    <w:rsid w:val="0087541D"/>
    <w:rsid w:val="00877AE7"/>
    <w:rsid w:val="0088001D"/>
    <w:rsid w:val="008804B9"/>
    <w:rsid w:val="0088274F"/>
    <w:rsid w:val="00882FE6"/>
    <w:rsid w:val="0088655F"/>
    <w:rsid w:val="00887561"/>
    <w:rsid w:val="00890951"/>
    <w:rsid w:val="00894C75"/>
    <w:rsid w:val="008960B4"/>
    <w:rsid w:val="00896D68"/>
    <w:rsid w:val="008A0059"/>
    <w:rsid w:val="008A18A3"/>
    <w:rsid w:val="008A21FB"/>
    <w:rsid w:val="008A4003"/>
    <w:rsid w:val="008A506A"/>
    <w:rsid w:val="008A69C9"/>
    <w:rsid w:val="008A7A9A"/>
    <w:rsid w:val="008B08D4"/>
    <w:rsid w:val="008B14F8"/>
    <w:rsid w:val="008B26DE"/>
    <w:rsid w:val="008B51F0"/>
    <w:rsid w:val="008B6211"/>
    <w:rsid w:val="008C05BA"/>
    <w:rsid w:val="008C21E3"/>
    <w:rsid w:val="008C2565"/>
    <w:rsid w:val="008C61FE"/>
    <w:rsid w:val="008C73A2"/>
    <w:rsid w:val="008D0FD4"/>
    <w:rsid w:val="008D3D21"/>
    <w:rsid w:val="008D44D4"/>
    <w:rsid w:val="008D5669"/>
    <w:rsid w:val="008D779E"/>
    <w:rsid w:val="008E5FE0"/>
    <w:rsid w:val="008E6DC1"/>
    <w:rsid w:val="008F1D5D"/>
    <w:rsid w:val="008F1E7A"/>
    <w:rsid w:val="008F2B09"/>
    <w:rsid w:val="008F3345"/>
    <w:rsid w:val="008F3D26"/>
    <w:rsid w:val="008F68BD"/>
    <w:rsid w:val="00901A98"/>
    <w:rsid w:val="009055FA"/>
    <w:rsid w:val="00905646"/>
    <w:rsid w:val="00906559"/>
    <w:rsid w:val="00907DA3"/>
    <w:rsid w:val="00911F71"/>
    <w:rsid w:val="009135DF"/>
    <w:rsid w:val="0091391F"/>
    <w:rsid w:val="009141EC"/>
    <w:rsid w:val="0091532C"/>
    <w:rsid w:val="0091754A"/>
    <w:rsid w:val="00924D39"/>
    <w:rsid w:val="00924DD3"/>
    <w:rsid w:val="0092557E"/>
    <w:rsid w:val="0093433C"/>
    <w:rsid w:val="00936A61"/>
    <w:rsid w:val="00937887"/>
    <w:rsid w:val="00937BE8"/>
    <w:rsid w:val="00937DA9"/>
    <w:rsid w:val="009422F7"/>
    <w:rsid w:val="00942C06"/>
    <w:rsid w:val="009453B9"/>
    <w:rsid w:val="00946FAC"/>
    <w:rsid w:val="00951068"/>
    <w:rsid w:val="00955684"/>
    <w:rsid w:val="00956DAF"/>
    <w:rsid w:val="00957D56"/>
    <w:rsid w:val="00963372"/>
    <w:rsid w:val="009637CD"/>
    <w:rsid w:val="00964A0F"/>
    <w:rsid w:val="00966733"/>
    <w:rsid w:val="00972A43"/>
    <w:rsid w:val="009742F1"/>
    <w:rsid w:val="00974AEF"/>
    <w:rsid w:val="00982454"/>
    <w:rsid w:val="00983300"/>
    <w:rsid w:val="0098697E"/>
    <w:rsid w:val="00990DF5"/>
    <w:rsid w:val="00993B4C"/>
    <w:rsid w:val="009A0D26"/>
    <w:rsid w:val="009A18F5"/>
    <w:rsid w:val="009A37B4"/>
    <w:rsid w:val="009A397B"/>
    <w:rsid w:val="009A652B"/>
    <w:rsid w:val="009A7EE1"/>
    <w:rsid w:val="009B18F5"/>
    <w:rsid w:val="009B2B3F"/>
    <w:rsid w:val="009B3808"/>
    <w:rsid w:val="009B4AD1"/>
    <w:rsid w:val="009B5E61"/>
    <w:rsid w:val="009B7382"/>
    <w:rsid w:val="009C54F1"/>
    <w:rsid w:val="009C65BE"/>
    <w:rsid w:val="009C7F26"/>
    <w:rsid w:val="009D02AD"/>
    <w:rsid w:val="009D5C1D"/>
    <w:rsid w:val="009D7874"/>
    <w:rsid w:val="009E1A19"/>
    <w:rsid w:val="009E6B02"/>
    <w:rsid w:val="009F3062"/>
    <w:rsid w:val="00A01FBF"/>
    <w:rsid w:val="00A10CCA"/>
    <w:rsid w:val="00A140FF"/>
    <w:rsid w:val="00A2049F"/>
    <w:rsid w:val="00A30C8B"/>
    <w:rsid w:val="00A312C4"/>
    <w:rsid w:val="00A3183A"/>
    <w:rsid w:val="00A33FE8"/>
    <w:rsid w:val="00A34571"/>
    <w:rsid w:val="00A35585"/>
    <w:rsid w:val="00A36832"/>
    <w:rsid w:val="00A42D75"/>
    <w:rsid w:val="00A44C0B"/>
    <w:rsid w:val="00A44DE8"/>
    <w:rsid w:val="00A4640D"/>
    <w:rsid w:val="00A52E74"/>
    <w:rsid w:val="00A54F91"/>
    <w:rsid w:val="00A569FE"/>
    <w:rsid w:val="00A56D07"/>
    <w:rsid w:val="00A60B1B"/>
    <w:rsid w:val="00A61220"/>
    <w:rsid w:val="00A64352"/>
    <w:rsid w:val="00A64C98"/>
    <w:rsid w:val="00A66B42"/>
    <w:rsid w:val="00A70E96"/>
    <w:rsid w:val="00A71543"/>
    <w:rsid w:val="00A71A16"/>
    <w:rsid w:val="00A72D4D"/>
    <w:rsid w:val="00A7402F"/>
    <w:rsid w:val="00A81CB1"/>
    <w:rsid w:val="00A8229D"/>
    <w:rsid w:val="00A82519"/>
    <w:rsid w:val="00A842B9"/>
    <w:rsid w:val="00A86CFF"/>
    <w:rsid w:val="00A90B7D"/>
    <w:rsid w:val="00A91F48"/>
    <w:rsid w:val="00A949F5"/>
    <w:rsid w:val="00A96FB2"/>
    <w:rsid w:val="00AA1CC9"/>
    <w:rsid w:val="00AA372F"/>
    <w:rsid w:val="00AA621B"/>
    <w:rsid w:val="00AA7A0C"/>
    <w:rsid w:val="00AB03AD"/>
    <w:rsid w:val="00AB7219"/>
    <w:rsid w:val="00AB73B1"/>
    <w:rsid w:val="00AC06F8"/>
    <w:rsid w:val="00AC15AC"/>
    <w:rsid w:val="00AC2255"/>
    <w:rsid w:val="00AC41D8"/>
    <w:rsid w:val="00AC679C"/>
    <w:rsid w:val="00AD05F1"/>
    <w:rsid w:val="00AD4300"/>
    <w:rsid w:val="00AD5148"/>
    <w:rsid w:val="00AD5546"/>
    <w:rsid w:val="00AD749F"/>
    <w:rsid w:val="00AE0DDB"/>
    <w:rsid w:val="00AE50DD"/>
    <w:rsid w:val="00AE5676"/>
    <w:rsid w:val="00AE5EB1"/>
    <w:rsid w:val="00AF0A62"/>
    <w:rsid w:val="00AF1023"/>
    <w:rsid w:val="00AF1605"/>
    <w:rsid w:val="00AF2D42"/>
    <w:rsid w:val="00AF6545"/>
    <w:rsid w:val="00B03BB6"/>
    <w:rsid w:val="00B07CE4"/>
    <w:rsid w:val="00B117D3"/>
    <w:rsid w:val="00B12CDE"/>
    <w:rsid w:val="00B14484"/>
    <w:rsid w:val="00B260EF"/>
    <w:rsid w:val="00B262F4"/>
    <w:rsid w:val="00B2644C"/>
    <w:rsid w:val="00B30215"/>
    <w:rsid w:val="00B31177"/>
    <w:rsid w:val="00B328FE"/>
    <w:rsid w:val="00B36609"/>
    <w:rsid w:val="00B404DE"/>
    <w:rsid w:val="00B40C36"/>
    <w:rsid w:val="00B44F37"/>
    <w:rsid w:val="00B53809"/>
    <w:rsid w:val="00B55F2E"/>
    <w:rsid w:val="00B57425"/>
    <w:rsid w:val="00B57BED"/>
    <w:rsid w:val="00B6021A"/>
    <w:rsid w:val="00B62CDD"/>
    <w:rsid w:val="00B63E1D"/>
    <w:rsid w:val="00B71B28"/>
    <w:rsid w:val="00B7284E"/>
    <w:rsid w:val="00B74423"/>
    <w:rsid w:val="00B77C0F"/>
    <w:rsid w:val="00B8233F"/>
    <w:rsid w:val="00B831B1"/>
    <w:rsid w:val="00B87F9A"/>
    <w:rsid w:val="00B923E3"/>
    <w:rsid w:val="00B94AD7"/>
    <w:rsid w:val="00B97180"/>
    <w:rsid w:val="00BA424F"/>
    <w:rsid w:val="00BA46CC"/>
    <w:rsid w:val="00BA4AA1"/>
    <w:rsid w:val="00BA5029"/>
    <w:rsid w:val="00BA59A1"/>
    <w:rsid w:val="00BA6A6D"/>
    <w:rsid w:val="00BB20B3"/>
    <w:rsid w:val="00BB23F4"/>
    <w:rsid w:val="00BB4E66"/>
    <w:rsid w:val="00BB7DBD"/>
    <w:rsid w:val="00BC1898"/>
    <w:rsid w:val="00BC1E9D"/>
    <w:rsid w:val="00BC5D1F"/>
    <w:rsid w:val="00BC6287"/>
    <w:rsid w:val="00BD02AD"/>
    <w:rsid w:val="00BD10FE"/>
    <w:rsid w:val="00BD2E22"/>
    <w:rsid w:val="00BD4F8F"/>
    <w:rsid w:val="00BD5178"/>
    <w:rsid w:val="00BD5422"/>
    <w:rsid w:val="00BD5784"/>
    <w:rsid w:val="00BD64A0"/>
    <w:rsid w:val="00BD7737"/>
    <w:rsid w:val="00BE181F"/>
    <w:rsid w:val="00BE2C23"/>
    <w:rsid w:val="00BE40F4"/>
    <w:rsid w:val="00BE6EB6"/>
    <w:rsid w:val="00BF4171"/>
    <w:rsid w:val="00BF60F9"/>
    <w:rsid w:val="00C05144"/>
    <w:rsid w:val="00C15AA7"/>
    <w:rsid w:val="00C213DC"/>
    <w:rsid w:val="00C22E95"/>
    <w:rsid w:val="00C23A03"/>
    <w:rsid w:val="00C272A2"/>
    <w:rsid w:val="00C2761D"/>
    <w:rsid w:val="00C30E71"/>
    <w:rsid w:val="00C31E09"/>
    <w:rsid w:val="00C31E8B"/>
    <w:rsid w:val="00C3287F"/>
    <w:rsid w:val="00C3331B"/>
    <w:rsid w:val="00C339D6"/>
    <w:rsid w:val="00C3408A"/>
    <w:rsid w:val="00C36C96"/>
    <w:rsid w:val="00C457DF"/>
    <w:rsid w:val="00C4717E"/>
    <w:rsid w:val="00C47C9F"/>
    <w:rsid w:val="00C47EA0"/>
    <w:rsid w:val="00C5282A"/>
    <w:rsid w:val="00C52F36"/>
    <w:rsid w:val="00C60CEB"/>
    <w:rsid w:val="00C62C75"/>
    <w:rsid w:val="00C63AF4"/>
    <w:rsid w:val="00C64EDB"/>
    <w:rsid w:val="00C665E3"/>
    <w:rsid w:val="00C66829"/>
    <w:rsid w:val="00C6683A"/>
    <w:rsid w:val="00C70BE8"/>
    <w:rsid w:val="00C72D7A"/>
    <w:rsid w:val="00C75490"/>
    <w:rsid w:val="00C75D35"/>
    <w:rsid w:val="00C80AF6"/>
    <w:rsid w:val="00C80CAD"/>
    <w:rsid w:val="00C859EA"/>
    <w:rsid w:val="00C869E5"/>
    <w:rsid w:val="00CA36F8"/>
    <w:rsid w:val="00CA606D"/>
    <w:rsid w:val="00CA670B"/>
    <w:rsid w:val="00CA6896"/>
    <w:rsid w:val="00CB2DE4"/>
    <w:rsid w:val="00CB4997"/>
    <w:rsid w:val="00CC0641"/>
    <w:rsid w:val="00CC1F30"/>
    <w:rsid w:val="00CC321C"/>
    <w:rsid w:val="00CD522D"/>
    <w:rsid w:val="00CD6108"/>
    <w:rsid w:val="00CD621B"/>
    <w:rsid w:val="00CD798D"/>
    <w:rsid w:val="00CE7535"/>
    <w:rsid w:val="00CE7C3C"/>
    <w:rsid w:val="00CF11C4"/>
    <w:rsid w:val="00CF2C0F"/>
    <w:rsid w:val="00CF3243"/>
    <w:rsid w:val="00CF4152"/>
    <w:rsid w:val="00CF5816"/>
    <w:rsid w:val="00CF72A7"/>
    <w:rsid w:val="00D010CF"/>
    <w:rsid w:val="00D019C8"/>
    <w:rsid w:val="00D0288F"/>
    <w:rsid w:val="00D04038"/>
    <w:rsid w:val="00D114AF"/>
    <w:rsid w:val="00D131EF"/>
    <w:rsid w:val="00D14C72"/>
    <w:rsid w:val="00D163C5"/>
    <w:rsid w:val="00D20F5F"/>
    <w:rsid w:val="00D23947"/>
    <w:rsid w:val="00D27EE5"/>
    <w:rsid w:val="00D31C0B"/>
    <w:rsid w:val="00D32ACE"/>
    <w:rsid w:val="00D34629"/>
    <w:rsid w:val="00D352EF"/>
    <w:rsid w:val="00D35CAC"/>
    <w:rsid w:val="00D361D2"/>
    <w:rsid w:val="00D37CEF"/>
    <w:rsid w:val="00D43557"/>
    <w:rsid w:val="00D4385B"/>
    <w:rsid w:val="00D47F77"/>
    <w:rsid w:val="00D5013A"/>
    <w:rsid w:val="00D5061C"/>
    <w:rsid w:val="00D52C1D"/>
    <w:rsid w:val="00D534D2"/>
    <w:rsid w:val="00D540F5"/>
    <w:rsid w:val="00D5637C"/>
    <w:rsid w:val="00D613EF"/>
    <w:rsid w:val="00D64FAD"/>
    <w:rsid w:val="00D65178"/>
    <w:rsid w:val="00D7158D"/>
    <w:rsid w:val="00D71D5C"/>
    <w:rsid w:val="00D74E1B"/>
    <w:rsid w:val="00D80168"/>
    <w:rsid w:val="00D8309A"/>
    <w:rsid w:val="00D83CAC"/>
    <w:rsid w:val="00D83DAF"/>
    <w:rsid w:val="00D8729F"/>
    <w:rsid w:val="00D915F4"/>
    <w:rsid w:val="00D92E7A"/>
    <w:rsid w:val="00D958C8"/>
    <w:rsid w:val="00DA37EE"/>
    <w:rsid w:val="00DA5F54"/>
    <w:rsid w:val="00DB2828"/>
    <w:rsid w:val="00DB4826"/>
    <w:rsid w:val="00DB6AA0"/>
    <w:rsid w:val="00DC1478"/>
    <w:rsid w:val="00DC2FB6"/>
    <w:rsid w:val="00DC32F5"/>
    <w:rsid w:val="00DC5228"/>
    <w:rsid w:val="00DC6B5D"/>
    <w:rsid w:val="00DC6EA7"/>
    <w:rsid w:val="00DC7DDF"/>
    <w:rsid w:val="00DD21B6"/>
    <w:rsid w:val="00DD3708"/>
    <w:rsid w:val="00DD5565"/>
    <w:rsid w:val="00DD64CF"/>
    <w:rsid w:val="00DD671D"/>
    <w:rsid w:val="00DE15B6"/>
    <w:rsid w:val="00DE262C"/>
    <w:rsid w:val="00DF009C"/>
    <w:rsid w:val="00DF059C"/>
    <w:rsid w:val="00DF0A74"/>
    <w:rsid w:val="00DF6026"/>
    <w:rsid w:val="00E011FD"/>
    <w:rsid w:val="00E01729"/>
    <w:rsid w:val="00E02E7C"/>
    <w:rsid w:val="00E06B8B"/>
    <w:rsid w:val="00E10225"/>
    <w:rsid w:val="00E12389"/>
    <w:rsid w:val="00E12F08"/>
    <w:rsid w:val="00E12FE0"/>
    <w:rsid w:val="00E1501B"/>
    <w:rsid w:val="00E2041F"/>
    <w:rsid w:val="00E21104"/>
    <w:rsid w:val="00E23A70"/>
    <w:rsid w:val="00E32163"/>
    <w:rsid w:val="00E32380"/>
    <w:rsid w:val="00E33507"/>
    <w:rsid w:val="00E34E59"/>
    <w:rsid w:val="00E35D16"/>
    <w:rsid w:val="00E44C2C"/>
    <w:rsid w:val="00E4608B"/>
    <w:rsid w:val="00E546D4"/>
    <w:rsid w:val="00E559DE"/>
    <w:rsid w:val="00E565A0"/>
    <w:rsid w:val="00E6126B"/>
    <w:rsid w:val="00E6174B"/>
    <w:rsid w:val="00E61EF7"/>
    <w:rsid w:val="00E736DF"/>
    <w:rsid w:val="00E754F7"/>
    <w:rsid w:val="00E820D2"/>
    <w:rsid w:val="00E83F94"/>
    <w:rsid w:val="00E84AED"/>
    <w:rsid w:val="00E84DBD"/>
    <w:rsid w:val="00E928EA"/>
    <w:rsid w:val="00E972D9"/>
    <w:rsid w:val="00EA0FC3"/>
    <w:rsid w:val="00EA26F1"/>
    <w:rsid w:val="00EB14F6"/>
    <w:rsid w:val="00EB18CD"/>
    <w:rsid w:val="00EB1C0E"/>
    <w:rsid w:val="00EB3785"/>
    <w:rsid w:val="00EC6A01"/>
    <w:rsid w:val="00EC79E9"/>
    <w:rsid w:val="00ED1EFB"/>
    <w:rsid w:val="00ED3674"/>
    <w:rsid w:val="00ED762B"/>
    <w:rsid w:val="00ED788C"/>
    <w:rsid w:val="00ED7C23"/>
    <w:rsid w:val="00EE015E"/>
    <w:rsid w:val="00EE0AAC"/>
    <w:rsid w:val="00EE19D4"/>
    <w:rsid w:val="00EE234E"/>
    <w:rsid w:val="00EE4DF7"/>
    <w:rsid w:val="00EF2552"/>
    <w:rsid w:val="00EF3C10"/>
    <w:rsid w:val="00EF4198"/>
    <w:rsid w:val="00EF479F"/>
    <w:rsid w:val="00EF6332"/>
    <w:rsid w:val="00EF6D9C"/>
    <w:rsid w:val="00F0357C"/>
    <w:rsid w:val="00F05F17"/>
    <w:rsid w:val="00F07AF6"/>
    <w:rsid w:val="00F143EE"/>
    <w:rsid w:val="00F15DD2"/>
    <w:rsid w:val="00F20771"/>
    <w:rsid w:val="00F2710D"/>
    <w:rsid w:val="00F3282E"/>
    <w:rsid w:val="00F36497"/>
    <w:rsid w:val="00F409D5"/>
    <w:rsid w:val="00F41B3A"/>
    <w:rsid w:val="00F4353E"/>
    <w:rsid w:val="00F477BD"/>
    <w:rsid w:val="00F55162"/>
    <w:rsid w:val="00F553E8"/>
    <w:rsid w:val="00F5644E"/>
    <w:rsid w:val="00F56AA8"/>
    <w:rsid w:val="00F60EBD"/>
    <w:rsid w:val="00F61040"/>
    <w:rsid w:val="00F610FE"/>
    <w:rsid w:val="00F61595"/>
    <w:rsid w:val="00F65DB7"/>
    <w:rsid w:val="00F664C1"/>
    <w:rsid w:val="00F67094"/>
    <w:rsid w:val="00F67183"/>
    <w:rsid w:val="00F676B1"/>
    <w:rsid w:val="00F820F4"/>
    <w:rsid w:val="00F83459"/>
    <w:rsid w:val="00F835BA"/>
    <w:rsid w:val="00F83B2B"/>
    <w:rsid w:val="00F85BBA"/>
    <w:rsid w:val="00F91034"/>
    <w:rsid w:val="00F912AE"/>
    <w:rsid w:val="00F9420E"/>
    <w:rsid w:val="00FA0B34"/>
    <w:rsid w:val="00FA0D69"/>
    <w:rsid w:val="00FA2634"/>
    <w:rsid w:val="00FA3836"/>
    <w:rsid w:val="00FA4847"/>
    <w:rsid w:val="00FA5BDB"/>
    <w:rsid w:val="00FA795A"/>
    <w:rsid w:val="00FB0E1C"/>
    <w:rsid w:val="00FB32DF"/>
    <w:rsid w:val="00FB6913"/>
    <w:rsid w:val="00FB6A3A"/>
    <w:rsid w:val="00FC2CD8"/>
    <w:rsid w:val="00FC3C6D"/>
    <w:rsid w:val="00FC4B0F"/>
    <w:rsid w:val="00FD18C0"/>
    <w:rsid w:val="00FD2206"/>
    <w:rsid w:val="00FD6D02"/>
    <w:rsid w:val="00FE0839"/>
    <w:rsid w:val="00FE236F"/>
    <w:rsid w:val="00FE2A76"/>
    <w:rsid w:val="00FE380F"/>
    <w:rsid w:val="00FF6109"/>
    <w:rsid w:val="00FF77E4"/>
  </w:rsids>
  <m:mathPr>
    <m:mathFont m:val="Cambria Math"/>
    <m:brkBin m:val="before"/>
    <m:brkBinSub m:val="--"/>
    <m:smallFrac m:val="0"/>
    <m:dispDef/>
    <m:lMargin m:val="0"/>
    <m:rMargin m:val="0"/>
    <m:defJc m:val="centerGroup"/>
    <m:wrapIndent m:val="1440"/>
    <m:intLim m:val="subSup"/>
    <m:naryLim m:val="undOvr"/>
  </m:mathPr>
  <w:themeFontLang w:val="en-US" w:eastAsia="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9FE6B"/>
  <w15:docId w15:val="{7B498C6A-9375-40C0-B5FE-EC0929053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imes New Roman" w:cs="Times New Roman"/>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4E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4E66"/>
  </w:style>
  <w:style w:type="paragraph" w:styleId="Footer">
    <w:name w:val="footer"/>
    <w:basedOn w:val="Normal"/>
    <w:link w:val="FooterChar"/>
    <w:uiPriority w:val="99"/>
    <w:unhideWhenUsed/>
    <w:rsid w:val="00BB4E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4E66"/>
  </w:style>
  <w:style w:type="paragraph" w:styleId="ListParagraph">
    <w:name w:val="List Paragraph"/>
    <w:basedOn w:val="Normal"/>
    <w:uiPriority w:val="34"/>
    <w:qFormat/>
    <w:rsid w:val="00F85BBA"/>
    <w:pPr>
      <w:ind w:left="720"/>
      <w:contextualSpacing/>
    </w:pPr>
  </w:style>
  <w:style w:type="paragraph" w:styleId="BalloonText">
    <w:name w:val="Balloon Text"/>
    <w:basedOn w:val="Normal"/>
    <w:link w:val="BalloonTextChar"/>
    <w:uiPriority w:val="99"/>
    <w:semiHidden/>
    <w:unhideWhenUsed/>
    <w:rsid w:val="007022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22F2"/>
    <w:rPr>
      <w:rFonts w:ascii="Segoe UI" w:hAnsi="Segoe UI" w:cs="Segoe UI"/>
      <w:sz w:val="18"/>
      <w:szCs w:val="18"/>
    </w:rPr>
  </w:style>
  <w:style w:type="paragraph" w:styleId="NormalWeb">
    <w:name w:val="Normal (Web)"/>
    <w:basedOn w:val="Normal"/>
    <w:uiPriority w:val="99"/>
    <w:semiHidden/>
    <w:unhideWhenUsed/>
    <w:rsid w:val="009D02AD"/>
    <w:pPr>
      <w:spacing w:before="100" w:beforeAutospacing="1" w:after="100" w:afterAutospacing="1" w:line="240" w:lineRule="auto"/>
    </w:pPr>
    <w:rPr>
      <w:rFonts w:ascii="Times New Roman"/>
      <w:sz w:val="24"/>
      <w:szCs w:val="24"/>
    </w:rPr>
  </w:style>
  <w:style w:type="character" w:styleId="Hyperlink">
    <w:name w:val="Hyperlink"/>
    <w:basedOn w:val="DefaultParagraphFont"/>
    <w:uiPriority w:val="99"/>
    <w:unhideWhenUsed/>
    <w:rsid w:val="00CF2C0F"/>
    <w:rPr>
      <w:color w:val="0563C1" w:themeColor="hyperlink"/>
      <w:u w:val="single"/>
    </w:rPr>
  </w:style>
  <w:style w:type="character" w:styleId="UnresolvedMention">
    <w:name w:val="Unresolved Mention"/>
    <w:basedOn w:val="DefaultParagraphFont"/>
    <w:uiPriority w:val="99"/>
    <w:semiHidden/>
    <w:unhideWhenUsed/>
    <w:rsid w:val="00CF2C0F"/>
    <w:rPr>
      <w:color w:val="605E5C"/>
      <w:shd w:val="clear" w:color="auto" w:fill="E1DFDD"/>
    </w:rPr>
  </w:style>
  <w:style w:type="table" w:styleId="GridTable6Colorful-Accent1">
    <w:name w:val="Grid Table 6 Colorful Accent 1"/>
    <w:basedOn w:val="TableNormal"/>
    <w:uiPriority w:val="51"/>
    <w:rsid w:val="00787411"/>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1286">
      <w:bodyDiv w:val="1"/>
      <w:marLeft w:val="0"/>
      <w:marRight w:val="0"/>
      <w:marTop w:val="0"/>
      <w:marBottom w:val="0"/>
      <w:divBdr>
        <w:top w:val="none" w:sz="0" w:space="0" w:color="auto"/>
        <w:left w:val="none" w:sz="0" w:space="0" w:color="auto"/>
        <w:bottom w:val="none" w:sz="0" w:space="0" w:color="auto"/>
        <w:right w:val="none" w:sz="0" w:space="0" w:color="auto"/>
      </w:divBdr>
    </w:div>
    <w:div w:id="421151058">
      <w:bodyDiv w:val="1"/>
      <w:marLeft w:val="0"/>
      <w:marRight w:val="0"/>
      <w:marTop w:val="0"/>
      <w:marBottom w:val="0"/>
      <w:divBdr>
        <w:top w:val="none" w:sz="0" w:space="0" w:color="auto"/>
        <w:left w:val="none" w:sz="0" w:space="0" w:color="auto"/>
        <w:bottom w:val="none" w:sz="0" w:space="0" w:color="auto"/>
        <w:right w:val="none" w:sz="0" w:space="0" w:color="auto"/>
      </w:divBdr>
    </w:div>
    <w:div w:id="461771718">
      <w:bodyDiv w:val="1"/>
      <w:marLeft w:val="0"/>
      <w:marRight w:val="0"/>
      <w:marTop w:val="0"/>
      <w:marBottom w:val="0"/>
      <w:divBdr>
        <w:top w:val="none" w:sz="0" w:space="0" w:color="auto"/>
        <w:left w:val="none" w:sz="0" w:space="0" w:color="auto"/>
        <w:bottom w:val="none" w:sz="0" w:space="0" w:color="auto"/>
        <w:right w:val="none" w:sz="0" w:space="0" w:color="auto"/>
      </w:divBdr>
    </w:div>
    <w:div w:id="494345858">
      <w:bodyDiv w:val="1"/>
      <w:marLeft w:val="0"/>
      <w:marRight w:val="0"/>
      <w:marTop w:val="0"/>
      <w:marBottom w:val="0"/>
      <w:divBdr>
        <w:top w:val="none" w:sz="0" w:space="0" w:color="auto"/>
        <w:left w:val="none" w:sz="0" w:space="0" w:color="auto"/>
        <w:bottom w:val="none" w:sz="0" w:space="0" w:color="auto"/>
        <w:right w:val="none" w:sz="0" w:space="0" w:color="auto"/>
      </w:divBdr>
    </w:div>
    <w:div w:id="547646814">
      <w:bodyDiv w:val="1"/>
      <w:marLeft w:val="0"/>
      <w:marRight w:val="0"/>
      <w:marTop w:val="0"/>
      <w:marBottom w:val="0"/>
      <w:divBdr>
        <w:top w:val="none" w:sz="0" w:space="0" w:color="auto"/>
        <w:left w:val="none" w:sz="0" w:space="0" w:color="auto"/>
        <w:bottom w:val="none" w:sz="0" w:space="0" w:color="auto"/>
        <w:right w:val="none" w:sz="0" w:space="0" w:color="auto"/>
      </w:divBdr>
    </w:div>
    <w:div w:id="715736807">
      <w:bodyDiv w:val="1"/>
      <w:marLeft w:val="0"/>
      <w:marRight w:val="0"/>
      <w:marTop w:val="0"/>
      <w:marBottom w:val="0"/>
      <w:divBdr>
        <w:top w:val="none" w:sz="0" w:space="0" w:color="auto"/>
        <w:left w:val="none" w:sz="0" w:space="0" w:color="auto"/>
        <w:bottom w:val="none" w:sz="0" w:space="0" w:color="auto"/>
        <w:right w:val="none" w:sz="0" w:space="0" w:color="auto"/>
      </w:divBdr>
    </w:div>
    <w:div w:id="804204463">
      <w:bodyDiv w:val="1"/>
      <w:marLeft w:val="0"/>
      <w:marRight w:val="0"/>
      <w:marTop w:val="0"/>
      <w:marBottom w:val="0"/>
      <w:divBdr>
        <w:top w:val="none" w:sz="0" w:space="0" w:color="auto"/>
        <w:left w:val="none" w:sz="0" w:space="0" w:color="auto"/>
        <w:bottom w:val="none" w:sz="0" w:space="0" w:color="auto"/>
        <w:right w:val="none" w:sz="0" w:space="0" w:color="auto"/>
      </w:divBdr>
      <w:divsChild>
        <w:div w:id="559293757">
          <w:marLeft w:val="274"/>
          <w:marRight w:val="0"/>
          <w:marTop w:val="0"/>
          <w:marBottom w:val="0"/>
          <w:divBdr>
            <w:top w:val="none" w:sz="0" w:space="0" w:color="auto"/>
            <w:left w:val="none" w:sz="0" w:space="0" w:color="auto"/>
            <w:bottom w:val="none" w:sz="0" w:space="0" w:color="auto"/>
            <w:right w:val="none" w:sz="0" w:space="0" w:color="auto"/>
          </w:divBdr>
        </w:div>
        <w:div w:id="796218621">
          <w:marLeft w:val="274"/>
          <w:marRight w:val="0"/>
          <w:marTop w:val="0"/>
          <w:marBottom w:val="0"/>
          <w:divBdr>
            <w:top w:val="none" w:sz="0" w:space="0" w:color="auto"/>
            <w:left w:val="none" w:sz="0" w:space="0" w:color="auto"/>
            <w:bottom w:val="none" w:sz="0" w:space="0" w:color="auto"/>
            <w:right w:val="none" w:sz="0" w:space="0" w:color="auto"/>
          </w:divBdr>
        </w:div>
        <w:div w:id="648172777">
          <w:marLeft w:val="274"/>
          <w:marRight w:val="0"/>
          <w:marTop w:val="0"/>
          <w:marBottom w:val="0"/>
          <w:divBdr>
            <w:top w:val="none" w:sz="0" w:space="0" w:color="auto"/>
            <w:left w:val="none" w:sz="0" w:space="0" w:color="auto"/>
            <w:bottom w:val="none" w:sz="0" w:space="0" w:color="auto"/>
            <w:right w:val="none" w:sz="0" w:space="0" w:color="auto"/>
          </w:divBdr>
        </w:div>
        <w:div w:id="417212618">
          <w:marLeft w:val="274"/>
          <w:marRight w:val="0"/>
          <w:marTop w:val="0"/>
          <w:marBottom w:val="0"/>
          <w:divBdr>
            <w:top w:val="none" w:sz="0" w:space="0" w:color="auto"/>
            <w:left w:val="none" w:sz="0" w:space="0" w:color="auto"/>
            <w:bottom w:val="none" w:sz="0" w:space="0" w:color="auto"/>
            <w:right w:val="none" w:sz="0" w:space="0" w:color="auto"/>
          </w:divBdr>
        </w:div>
        <w:div w:id="2106877023">
          <w:marLeft w:val="274"/>
          <w:marRight w:val="0"/>
          <w:marTop w:val="0"/>
          <w:marBottom w:val="0"/>
          <w:divBdr>
            <w:top w:val="none" w:sz="0" w:space="0" w:color="auto"/>
            <w:left w:val="none" w:sz="0" w:space="0" w:color="auto"/>
            <w:bottom w:val="none" w:sz="0" w:space="0" w:color="auto"/>
            <w:right w:val="none" w:sz="0" w:space="0" w:color="auto"/>
          </w:divBdr>
        </w:div>
        <w:div w:id="950890916">
          <w:marLeft w:val="274"/>
          <w:marRight w:val="0"/>
          <w:marTop w:val="0"/>
          <w:marBottom w:val="0"/>
          <w:divBdr>
            <w:top w:val="none" w:sz="0" w:space="0" w:color="auto"/>
            <w:left w:val="none" w:sz="0" w:space="0" w:color="auto"/>
            <w:bottom w:val="none" w:sz="0" w:space="0" w:color="auto"/>
            <w:right w:val="none" w:sz="0" w:space="0" w:color="auto"/>
          </w:divBdr>
        </w:div>
        <w:div w:id="311370429">
          <w:marLeft w:val="274"/>
          <w:marRight w:val="0"/>
          <w:marTop w:val="0"/>
          <w:marBottom w:val="0"/>
          <w:divBdr>
            <w:top w:val="none" w:sz="0" w:space="0" w:color="auto"/>
            <w:left w:val="none" w:sz="0" w:space="0" w:color="auto"/>
            <w:bottom w:val="none" w:sz="0" w:space="0" w:color="auto"/>
            <w:right w:val="none" w:sz="0" w:space="0" w:color="auto"/>
          </w:divBdr>
        </w:div>
      </w:divsChild>
    </w:div>
    <w:div w:id="819465053">
      <w:bodyDiv w:val="1"/>
      <w:marLeft w:val="0"/>
      <w:marRight w:val="0"/>
      <w:marTop w:val="0"/>
      <w:marBottom w:val="0"/>
      <w:divBdr>
        <w:top w:val="none" w:sz="0" w:space="0" w:color="auto"/>
        <w:left w:val="none" w:sz="0" w:space="0" w:color="auto"/>
        <w:bottom w:val="none" w:sz="0" w:space="0" w:color="auto"/>
        <w:right w:val="none" w:sz="0" w:space="0" w:color="auto"/>
      </w:divBdr>
    </w:div>
    <w:div w:id="828059573">
      <w:bodyDiv w:val="1"/>
      <w:marLeft w:val="0"/>
      <w:marRight w:val="0"/>
      <w:marTop w:val="0"/>
      <w:marBottom w:val="0"/>
      <w:divBdr>
        <w:top w:val="none" w:sz="0" w:space="0" w:color="auto"/>
        <w:left w:val="none" w:sz="0" w:space="0" w:color="auto"/>
        <w:bottom w:val="none" w:sz="0" w:space="0" w:color="auto"/>
        <w:right w:val="none" w:sz="0" w:space="0" w:color="auto"/>
      </w:divBdr>
      <w:divsChild>
        <w:div w:id="1722092513">
          <w:marLeft w:val="547"/>
          <w:marRight w:val="0"/>
          <w:marTop w:val="0"/>
          <w:marBottom w:val="0"/>
          <w:divBdr>
            <w:top w:val="none" w:sz="0" w:space="0" w:color="auto"/>
            <w:left w:val="none" w:sz="0" w:space="0" w:color="auto"/>
            <w:bottom w:val="none" w:sz="0" w:space="0" w:color="auto"/>
            <w:right w:val="none" w:sz="0" w:space="0" w:color="auto"/>
          </w:divBdr>
        </w:div>
      </w:divsChild>
    </w:div>
    <w:div w:id="1024790874">
      <w:bodyDiv w:val="1"/>
      <w:marLeft w:val="0"/>
      <w:marRight w:val="0"/>
      <w:marTop w:val="0"/>
      <w:marBottom w:val="0"/>
      <w:divBdr>
        <w:top w:val="none" w:sz="0" w:space="0" w:color="auto"/>
        <w:left w:val="none" w:sz="0" w:space="0" w:color="auto"/>
        <w:bottom w:val="none" w:sz="0" w:space="0" w:color="auto"/>
        <w:right w:val="none" w:sz="0" w:space="0" w:color="auto"/>
      </w:divBdr>
    </w:div>
    <w:div w:id="1258060119">
      <w:bodyDiv w:val="1"/>
      <w:marLeft w:val="0"/>
      <w:marRight w:val="0"/>
      <w:marTop w:val="0"/>
      <w:marBottom w:val="0"/>
      <w:divBdr>
        <w:top w:val="none" w:sz="0" w:space="0" w:color="auto"/>
        <w:left w:val="none" w:sz="0" w:space="0" w:color="auto"/>
        <w:bottom w:val="none" w:sz="0" w:space="0" w:color="auto"/>
        <w:right w:val="none" w:sz="0" w:space="0" w:color="auto"/>
      </w:divBdr>
    </w:div>
    <w:div w:id="1305307278">
      <w:bodyDiv w:val="1"/>
      <w:marLeft w:val="0"/>
      <w:marRight w:val="0"/>
      <w:marTop w:val="0"/>
      <w:marBottom w:val="0"/>
      <w:divBdr>
        <w:top w:val="none" w:sz="0" w:space="0" w:color="auto"/>
        <w:left w:val="none" w:sz="0" w:space="0" w:color="auto"/>
        <w:bottom w:val="none" w:sz="0" w:space="0" w:color="auto"/>
        <w:right w:val="none" w:sz="0" w:space="0" w:color="auto"/>
      </w:divBdr>
    </w:div>
    <w:div w:id="1382751018">
      <w:bodyDiv w:val="1"/>
      <w:marLeft w:val="0"/>
      <w:marRight w:val="0"/>
      <w:marTop w:val="0"/>
      <w:marBottom w:val="0"/>
      <w:divBdr>
        <w:top w:val="none" w:sz="0" w:space="0" w:color="auto"/>
        <w:left w:val="none" w:sz="0" w:space="0" w:color="auto"/>
        <w:bottom w:val="none" w:sz="0" w:space="0" w:color="auto"/>
        <w:right w:val="none" w:sz="0" w:space="0" w:color="auto"/>
      </w:divBdr>
    </w:div>
    <w:div w:id="1392190613">
      <w:bodyDiv w:val="1"/>
      <w:marLeft w:val="0"/>
      <w:marRight w:val="0"/>
      <w:marTop w:val="0"/>
      <w:marBottom w:val="0"/>
      <w:divBdr>
        <w:top w:val="none" w:sz="0" w:space="0" w:color="auto"/>
        <w:left w:val="none" w:sz="0" w:space="0" w:color="auto"/>
        <w:bottom w:val="none" w:sz="0" w:space="0" w:color="auto"/>
        <w:right w:val="none" w:sz="0" w:space="0" w:color="auto"/>
      </w:divBdr>
    </w:div>
    <w:div w:id="1530560076">
      <w:bodyDiv w:val="1"/>
      <w:marLeft w:val="0"/>
      <w:marRight w:val="0"/>
      <w:marTop w:val="0"/>
      <w:marBottom w:val="0"/>
      <w:divBdr>
        <w:top w:val="none" w:sz="0" w:space="0" w:color="auto"/>
        <w:left w:val="none" w:sz="0" w:space="0" w:color="auto"/>
        <w:bottom w:val="none" w:sz="0" w:space="0" w:color="auto"/>
        <w:right w:val="none" w:sz="0" w:space="0" w:color="auto"/>
      </w:divBdr>
    </w:div>
    <w:div w:id="1543516187">
      <w:bodyDiv w:val="1"/>
      <w:marLeft w:val="0"/>
      <w:marRight w:val="0"/>
      <w:marTop w:val="0"/>
      <w:marBottom w:val="0"/>
      <w:divBdr>
        <w:top w:val="none" w:sz="0" w:space="0" w:color="auto"/>
        <w:left w:val="none" w:sz="0" w:space="0" w:color="auto"/>
        <w:bottom w:val="none" w:sz="0" w:space="0" w:color="auto"/>
        <w:right w:val="none" w:sz="0" w:space="0" w:color="auto"/>
      </w:divBdr>
    </w:div>
    <w:div w:id="1624655189">
      <w:bodyDiv w:val="1"/>
      <w:marLeft w:val="0"/>
      <w:marRight w:val="0"/>
      <w:marTop w:val="0"/>
      <w:marBottom w:val="0"/>
      <w:divBdr>
        <w:top w:val="none" w:sz="0" w:space="0" w:color="auto"/>
        <w:left w:val="none" w:sz="0" w:space="0" w:color="auto"/>
        <w:bottom w:val="none" w:sz="0" w:space="0" w:color="auto"/>
        <w:right w:val="none" w:sz="0" w:space="0" w:color="auto"/>
      </w:divBdr>
    </w:div>
    <w:div w:id="1715957168">
      <w:bodyDiv w:val="1"/>
      <w:marLeft w:val="0"/>
      <w:marRight w:val="0"/>
      <w:marTop w:val="0"/>
      <w:marBottom w:val="0"/>
      <w:divBdr>
        <w:top w:val="none" w:sz="0" w:space="0" w:color="auto"/>
        <w:left w:val="none" w:sz="0" w:space="0" w:color="auto"/>
        <w:bottom w:val="none" w:sz="0" w:space="0" w:color="auto"/>
        <w:right w:val="none" w:sz="0" w:space="0" w:color="auto"/>
      </w:divBdr>
      <w:divsChild>
        <w:div w:id="1076320364">
          <w:marLeft w:val="360"/>
          <w:marRight w:val="0"/>
          <w:marTop w:val="360"/>
          <w:marBottom w:val="0"/>
          <w:divBdr>
            <w:top w:val="none" w:sz="0" w:space="0" w:color="auto"/>
            <w:left w:val="none" w:sz="0" w:space="0" w:color="auto"/>
            <w:bottom w:val="none" w:sz="0" w:space="0" w:color="auto"/>
            <w:right w:val="none" w:sz="0" w:space="0" w:color="auto"/>
          </w:divBdr>
        </w:div>
        <w:div w:id="980379683">
          <w:marLeft w:val="360"/>
          <w:marRight w:val="0"/>
          <w:marTop w:val="360"/>
          <w:marBottom w:val="0"/>
          <w:divBdr>
            <w:top w:val="none" w:sz="0" w:space="0" w:color="auto"/>
            <w:left w:val="none" w:sz="0" w:space="0" w:color="auto"/>
            <w:bottom w:val="none" w:sz="0" w:space="0" w:color="auto"/>
            <w:right w:val="none" w:sz="0" w:space="0" w:color="auto"/>
          </w:divBdr>
        </w:div>
        <w:div w:id="962930047">
          <w:marLeft w:val="360"/>
          <w:marRight w:val="0"/>
          <w:marTop w:val="360"/>
          <w:marBottom w:val="0"/>
          <w:divBdr>
            <w:top w:val="none" w:sz="0" w:space="0" w:color="auto"/>
            <w:left w:val="none" w:sz="0" w:space="0" w:color="auto"/>
            <w:bottom w:val="none" w:sz="0" w:space="0" w:color="auto"/>
            <w:right w:val="none" w:sz="0" w:space="0" w:color="auto"/>
          </w:divBdr>
        </w:div>
        <w:div w:id="1831673354">
          <w:marLeft w:val="360"/>
          <w:marRight w:val="0"/>
          <w:marTop w:val="360"/>
          <w:marBottom w:val="0"/>
          <w:divBdr>
            <w:top w:val="none" w:sz="0" w:space="0" w:color="auto"/>
            <w:left w:val="none" w:sz="0" w:space="0" w:color="auto"/>
            <w:bottom w:val="none" w:sz="0" w:space="0" w:color="auto"/>
            <w:right w:val="none" w:sz="0" w:space="0" w:color="auto"/>
          </w:divBdr>
        </w:div>
      </w:divsChild>
    </w:div>
    <w:div w:id="1728651597">
      <w:bodyDiv w:val="1"/>
      <w:marLeft w:val="0"/>
      <w:marRight w:val="0"/>
      <w:marTop w:val="0"/>
      <w:marBottom w:val="0"/>
      <w:divBdr>
        <w:top w:val="none" w:sz="0" w:space="0" w:color="auto"/>
        <w:left w:val="none" w:sz="0" w:space="0" w:color="auto"/>
        <w:bottom w:val="none" w:sz="0" w:space="0" w:color="auto"/>
        <w:right w:val="none" w:sz="0" w:space="0" w:color="auto"/>
      </w:divBdr>
    </w:div>
    <w:div w:id="1822041893">
      <w:bodyDiv w:val="1"/>
      <w:marLeft w:val="0"/>
      <w:marRight w:val="0"/>
      <w:marTop w:val="0"/>
      <w:marBottom w:val="0"/>
      <w:divBdr>
        <w:top w:val="none" w:sz="0" w:space="0" w:color="auto"/>
        <w:left w:val="none" w:sz="0" w:space="0" w:color="auto"/>
        <w:bottom w:val="none" w:sz="0" w:space="0" w:color="auto"/>
        <w:right w:val="none" w:sz="0" w:space="0" w:color="auto"/>
      </w:divBdr>
    </w:div>
    <w:div w:id="1850606526">
      <w:bodyDiv w:val="1"/>
      <w:marLeft w:val="0"/>
      <w:marRight w:val="0"/>
      <w:marTop w:val="0"/>
      <w:marBottom w:val="0"/>
      <w:divBdr>
        <w:top w:val="none" w:sz="0" w:space="0" w:color="auto"/>
        <w:left w:val="none" w:sz="0" w:space="0" w:color="auto"/>
        <w:bottom w:val="none" w:sz="0" w:space="0" w:color="auto"/>
        <w:right w:val="none" w:sz="0" w:space="0" w:color="auto"/>
      </w:divBdr>
    </w:div>
    <w:div w:id="1998923983">
      <w:bodyDiv w:val="1"/>
      <w:marLeft w:val="0"/>
      <w:marRight w:val="0"/>
      <w:marTop w:val="0"/>
      <w:marBottom w:val="0"/>
      <w:divBdr>
        <w:top w:val="none" w:sz="0" w:space="0" w:color="auto"/>
        <w:left w:val="none" w:sz="0" w:space="0" w:color="auto"/>
        <w:bottom w:val="none" w:sz="0" w:space="0" w:color="auto"/>
        <w:right w:val="none" w:sz="0" w:space="0" w:color="auto"/>
      </w:divBdr>
    </w:div>
    <w:div w:id="2015641024">
      <w:bodyDiv w:val="1"/>
      <w:marLeft w:val="0"/>
      <w:marRight w:val="0"/>
      <w:marTop w:val="0"/>
      <w:marBottom w:val="0"/>
      <w:divBdr>
        <w:top w:val="none" w:sz="0" w:space="0" w:color="auto"/>
        <w:left w:val="none" w:sz="0" w:space="0" w:color="auto"/>
        <w:bottom w:val="none" w:sz="0" w:space="0" w:color="auto"/>
        <w:right w:val="none" w:sz="0" w:space="0" w:color="auto"/>
      </w:divBdr>
    </w:div>
    <w:div w:id="2025672201">
      <w:bodyDiv w:val="1"/>
      <w:marLeft w:val="0"/>
      <w:marRight w:val="0"/>
      <w:marTop w:val="0"/>
      <w:marBottom w:val="0"/>
      <w:divBdr>
        <w:top w:val="none" w:sz="0" w:space="0" w:color="auto"/>
        <w:left w:val="none" w:sz="0" w:space="0" w:color="auto"/>
        <w:bottom w:val="none" w:sz="0" w:space="0" w:color="auto"/>
        <w:right w:val="none" w:sz="0" w:space="0" w:color="auto"/>
      </w:divBdr>
    </w:div>
    <w:div w:id="2106877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920</Words>
  <Characters>5599</Characters>
  <Application>Microsoft Office Word</Application>
  <DocSecurity>0</DocSecurity>
  <Lines>101</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O'Brien</dc:creator>
  <cp:keywords/>
  <dc:description/>
  <cp:lastModifiedBy>Michelle Bower</cp:lastModifiedBy>
  <cp:revision>14</cp:revision>
  <dcterms:created xsi:type="dcterms:W3CDTF">2025-10-19T05:35:00Z</dcterms:created>
  <dcterms:modified xsi:type="dcterms:W3CDTF">2025-10-19T05:44:00Z</dcterms:modified>
</cp:coreProperties>
</file>